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3C4CC0A1" w:rsidR="00D26631" w:rsidRPr="00147835" w:rsidRDefault="21335DB2" w:rsidP="00147835">
      <w:pPr>
        <w:pStyle w:val="Heading1"/>
      </w:pPr>
      <w:r w:rsidRPr="00147835">
        <w:t>M</w:t>
      </w:r>
      <w:r w:rsidR="006302E6" w:rsidRPr="00147835">
        <w:t>4</w:t>
      </w:r>
      <w:r w:rsidRPr="00147835">
        <w:t xml:space="preserve">: </w:t>
      </w:r>
      <w:r w:rsidR="00F24A63" w:rsidRPr="00147835">
        <w:t xml:space="preserve">Is Special Education Really Broken? </w:t>
      </w:r>
    </w:p>
    <w:p w14:paraId="14C9F6F8" w14:textId="77777777" w:rsidR="008730BE" w:rsidRPr="0028793F" w:rsidRDefault="008730BE" w:rsidP="0028793F">
      <w:pPr>
        <w:pStyle w:val="Heading2"/>
      </w:pPr>
      <w:r w:rsidRPr="0028793F">
        <w:t>Course </w:t>
      </w:r>
    </w:p>
    <w:p w14:paraId="231442C4" w14:textId="77777777" w:rsidR="008730BE" w:rsidRPr="006302E6" w:rsidRDefault="008730BE" w:rsidP="00A548C6">
      <w:pPr>
        <w:rPr>
          <w:rFonts w:ascii="Segoe UI" w:hAnsi="Segoe UI" w:cs="Segoe UI"/>
          <w:color w:val="000000" w:themeColor="text1"/>
          <w:sz w:val="18"/>
          <w:szCs w:val="18"/>
        </w:rPr>
      </w:pPr>
      <w:r w:rsidRPr="006302E6">
        <w:rPr>
          <w:rFonts w:ascii="Calibri" w:hAnsi="Calibri" w:cs="Calibri"/>
          <w:color w:val="000000" w:themeColor="text1"/>
        </w:rPr>
        <w:t>Special Education </w:t>
      </w:r>
    </w:p>
    <w:p w14:paraId="5B52154B" w14:textId="6D3705E6" w:rsidR="008730BE" w:rsidRPr="0028793F" w:rsidRDefault="355C6DC3" w:rsidP="0028793F">
      <w:pPr>
        <w:pStyle w:val="Heading2"/>
      </w:pPr>
      <w:r w:rsidRPr="0028793F">
        <w:t>Location </w:t>
      </w:r>
    </w:p>
    <w:p w14:paraId="7707D202" w14:textId="6D3C4A7C" w:rsidR="008730BE" w:rsidRPr="006302E6" w:rsidRDefault="008730BE" w:rsidP="00A548C6">
      <w:pPr>
        <w:rPr>
          <w:rFonts w:ascii="Segoe UI" w:hAnsi="Segoe UI" w:cs="Segoe UI"/>
          <w:color w:val="000000" w:themeColor="text1"/>
          <w:sz w:val="18"/>
          <w:szCs w:val="18"/>
        </w:rPr>
      </w:pPr>
      <w:r w:rsidRPr="006302E6">
        <w:rPr>
          <w:rFonts w:ascii="Calibri" w:hAnsi="Calibri" w:cs="Calibri"/>
          <w:color w:val="000000" w:themeColor="text1"/>
        </w:rPr>
        <w:t xml:space="preserve">Module </w:t>
      </w:r>
      <w:r w:rsidR="006302E6" w:rsidRPr="006302E6">
        <w:rPr>
          <w:rFonts w:ascii="Calibri" w:hAnsi="Calibri" w:cs="Calibri"/>
          <w:color w:val="000000" w:themeColor="text1"/>
        </w:rPr>
        <w:t>4</w:t>
      </w:r>
      <w:r w:rsidRPr="006302E6">
        <w:rPr>
          <w:rFonts w:ascii="Calibri" w:hAnsi="Calibri" w:cs="Calibri"/>
          <w:color w:val="000000" w:themeColor="text1"/>
        </w:rPr>
        <w:t> </w:t>
      </w:r>
    </w:p>
    <w:p w14:paraId="021088EC" w14:textId="77777777" w:rsidR="008730BE" w:rsidRPr="0028793F" w:rsidRDefault="008730BE" w:rsidP="0028793F">
      <w:pPr>
        <w:pStyle w:val="Heading2"/>
      </w:pPr>
      <w:r w:rsidRPr="0028793F">
        <w:t>Alignments </w:t>
      </w:r>
    </w:p>
    <w:p w14:paraId="4F617251" w14:textId="77777777" w:rsidR="008730BE" w:rsidRPr="0028793F" w:rsidRDefault="008730BE" w:rsidP="0028793F">
      <w:pPr>
        <w:pStyle w:val="Heading3"/>
      </w:pPr>
      <w:r w:rsidRPr="0028793F">
        <w:t>Course Outcomes </w:t>
      </w:r>
    </w:p>
    <w:p w14:paraId="686B6A30" w14:textId="6086C0A0" w:rsidR="008730BE" w:rsidRPr="006302E6" w:rsidRDefault="008730BE" w:rsidP="00A548C6">
      <w:pPr>
        <w:rPr>
          <w:rFonts w:ascii="Segoe UI" w:hAnsi="Segoe UI" w:cs="Segoe UI"/>
          <w:color w:val="000000" w:themeColor="text1"/>
          <w:sz w:val="18"/>
          <w:szCs w:val="18"/>
        </w:rPr>
      </w:pPr>
      <w:r w:rsidRPr="006302E6">
        <w:rPr>
          <w:rFonts w:ascii="Calibri" w:hAnsi="Calibri" w:cs="Calibri"/>
          <w:color w:val="000000" w:themeColor="text1"/>
        </w:rPr>
        <w:t> CLO I</w:t>
      </w:r>
      <w:r w:rsidR="006302E6" w:rsidRPr="006302E6">
        <w:rPr>
          <w:rFonts w:ascii="Calibri" w:hAnsi="Calibri" w:cs="Calibri"/>
          <w:color w:val="000000" w:themeColor="text1"/>
        </w:rPr>
        <w:t>V</w:t>
      </w:r>
      <w:r w:rsidR="7FB65A1A" w:rsidRPr="006302E6">
        <w:rPr>
          <w:rFonts w:ascii="Calibri" w:hAnsi="Calibri" w:cs="Calibri"/>
          <w:color w:val="000000" w:themeColor="text1"/>
        </w:rPr>
        <w:t>:</w:t>
      </w:r>
      <w:r w:rsidRPr="006302E6">
        <w:rPr>
          <w:rFonts w:ascii="Calibri" w:hAnsi="Calibri" w:cs="Calibri"/>
          <w:color w:val="000000" w:themeColor="text1"/>
        </w:rPr>
        <w:t xml:space="preserve"> </w:t>
      </w:r>
      <w:r w:rsidR="006302E6" w:rsidRPr="006302E6">
        <w:rPr>
          <w:rFonts w:ascii="Calibri" w:hAnsi="Calibri" w:cs="Calibri"/>
          <w:color w:val="000000" w:themeColor="text1"/>
        </w:rPr>
        <w:t>Explain intervention and assessment procedures for prospective special education students.</w:t>
      </w:r>
      <w:r w:rsidRPr="006302E6">
        <w:rPr>
          <w:rFonts w:ascii="Calibri" w:hAnsi="Calibri" w:cs="Calibri"/>
          <w:color w:val="000000" w:themeColor="text1"/>
        </w:rPr>
        <w:t> </w:t>
      </w:r>
    </w:p>
    <w:p w14:paraId="7BD59F55" w14:textId="77777777" w:rsidR="008730BE" w:rsidRPr="0028793F" w:rsidRDefault="008730BE" w:rsidP="0028793F">
      <w:pPr>
        <w:pStyle w:val="Heading3"/>
      </w:pPr>
      <w:r w:rsidRPr="0028793F">
        <w:t>Module Outcomes </w:t>
      </w:r>
    </w:p>
    <w:p w14:paraId="76849434" w14:textId="7204C646" w:rsidR="008310D0" w:rsidRPr="006302E6" w:rsidRDefault="00BE2848" w:rsidP="022801D0">
      <w:pPr>
        <w:rPr>
          <w:rFonts w:ascii="Calibri" w:hAnsi="Calibri" w:cs="Calibri"/>
          <w:color w:val="000000" w:themeColor="text1"/>
        </w:rPr>
      </w:pPr>
      <w:r w:rsidRPr="006302E6">
        <w:rPr>
          <w:rFonts w:ascii="Calibri" w:hAnsi="Calibri" w:cs="Calibri"/>
          <w:color w:val="000000" w:themeColor="text1"/>
        </w:rPr>
        <w:t xml:space="preserve">MLO </w:t>
      </w:r>
      <w:r w:rsidR="006302E6" w:rsidRPr="006302E6">
        <w:rPr>
          <w:rFonts w:ascii="Calibri" w:hAnsi="Calibri" w:cs="Calibri"/>
          <w:color w:val="000000" w:themeColor="text1"/>
        </w:rPr>
        <w:t>4</w:t>
      </w:r>
      <w:r w:rsidRPr="006302E6">
        <w:rPr>
          <w:rFonts w:ascii="Calibri" w:hAnsi="Calibri" w:cs="Calibri"/>
          <w:color w:val="000000" w:themeColor="text1"/>
        </w:rPr>
        <w:t>.</w:t>
      </w:r>
      <w:r w:rsidR="006302E6" w:rsidRPr="006302E6">
        <w:rPr>
          <w:rFonts w:ascii="Calibri" w:hAnsi="Calibri" w:cs="Calibri"/>
          <w:color w:val="000000" w:themeColor="text1"/>
        </w:rPr>
        <w:t>1</w:t>
      </w:r>
      <w:r w:rsidRPr="006302E6">
        <w:rPr>
          <w:rFonts w:ascii="Calibri" w:hAnsi="Calibri" w:cs="Calibri"/>
          <w:color w:val="000000" w:themeColor="text1"/>
        </w:rPr>
        <w:t xml:space="preserve">: </w:t>
      </w:r>
      <w:r w:rsidR="006302E6" w:rsidRPr="006302E6">
        <w:rPr>
          <w:rFonts w:ascii="Calibri" w:hAnsi="Calibri" w:cs="Calibri"/>
          <w:color w:val="000000" w:themeColor="text1"/>
        </w:rPr>
        <w:t>Recognize the role that classroom teachers play in the special education process. </w:t>
      </w:r>
    </w:p>
    <w:p w14:paraId="57517BA8" w14:textId="5B4208C0" w:rsidR="00F24A63" w:rsidRDefault="00F24A63" w:rsidP="022801D0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MLO 4.3: </w:t>
      </w:r>
      <w:r w:rsidRPr="00F24A63">
        <w:rPr>
          <w:rFonts w:ascii="Calibri" w:hAnsi="Calibri" w:cs="Calibri"/>
          <w:color w:val="000000" w:themeColor="text1"/>
        </w:rPr>
        <w:t>Practice developing the components of an example Individualized Education Program (IEP).</w:t>
      </w:r>
    </w:p>
    <w:p w14:paraId="347DA6A4" w14:textId="4DF1FBB0" w:rsidR="508AB4F0" w:rsidRPr="006302E6" w:rsidRDefault="508AB4F0" w:rsidP="022801D0">
      <w:pPr>
        <w:rPr>
          <w:rFonts w:ascii="Calibri" w:hAnsi="Calibri" w:cs="Calibri"/>
          <w:color w:val="000000" w:themeColor="text1"/>
        </w:rPr>
      </w:pPr>
      <w:r w:rsidRPr="006302E6">
        <w:rPr>
          <w:rFonts w:ascii="Calibri" w:hAnsi="Calibri" w:cs="Calibri"/>
          <w:color w:val="000000" w:themeColor="text1"/>
        </w:rPr>
        <w:t xml:space="preserve">MLO </w:t>
      </w:r>
      <w:r w:rsidR="006302E6" w:rsidRPr="006302E6">
        <w:rPr>
          <w:rFonts w:ascii="Calibri" w:hAnsi="Calibri" w:cs="Calibri"/>
          <w:color w:val="000000" w:themeColor="text1"/>
        </w:rPr>
        <w:t>4.4</w:t>
      </w:r>
      <w:r w:rsidRPr="006302E6">
        <w:rPr>
          <w:rFonts w:ascii="Calibri" w:hAnsi="Calibri" w:cs="Calibri"/>
          <w:color w:val="000000" w:themeColor="text1"/>
        </w:rPr>
        <w:t xml:space="preserve">: </w:t>
      </w:r>
      <w:r w:rsidR="006302E6" w:rsidRPr="006302E6">
        <w:rPr>
          <w:rFonts w:ascii="Calibri" w:hAnsi="Calibri" w:cs="Calibri"/>
          <w:color w:val="000000" w:themeColor="text1"/>
        </w:rPr>
        <w:t>Identify common accommodations, modifications, and services within IEPs.</w:t>
      </w:r>
      <w:r w:rsidRPr="006302E6">
        <w:rPr>
          <w:rFonts w:ascii="Calibri" w:hAnsi="Calibri" w:cs="Calibri"/>
          <w:color w:val="000000" w:themeColor="text1"/>
        </w:rPr>
        <w:t xml:space="preserve"> </w:t>
      </w:r>
    </w:p>
    <w:p w14:paraId="7817D6B9" w14:textId="3E87B055" w:rsidR="008730BE" w:rsidRPr="0028793F" w:rsidRDefault="008730BE" w:rsidP="0028793F">
      <w:pPr>
        <w:pStyle w:val="Heading3"/>
      </w:pPr>
      <w:r w:rsidRPr="0028793F">
        <w:t>Specific InTASC Standards </w:t>
      </w:r>
    </w:p>
    <w:tbl>
      <w:tblPr>
        <w:tblW w:w="9319" w:type="dxa"/>
        <w:tblLook w:val="04A0" w:firstRow="1" w:lastRow="0" w:firstColumn="1" w:lastColumn="0" w:noHBand="0" w:noVBand="1"/>
      </w:tblPr>
      <w:tblGrid>
        <w:gridCol w:w="1432"/>
        <w:gridCol w:w="1432"/>
        <w:gridCol w:w="6455"/>
      </w:tblGrid>
      <w:tr w:rsidR="4779AAB1" w14:paraId="7104B7C5" w14:textId="77777777" w:rsidTr="4779AAB1">
        <w:trPr>
          <w:trHeight w:val="81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4C61" w14:textId="22A5F72D" w:rsidR="4779AAB1" w:rsidRDefault="4779AAB1" w:rsidP="4779AAB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779AAB1">
              <w:rPr>
                <w:rFonts w:ascii="Calibri" w:eastAsia="Calibri" w:hAnsi="Calibri" w:cs="Calibri"/>
                <w:b/>
                <w:bCs/>
                <w:color w:val="000000" w:themeColor="text1"/>
              </w:rPr>
              <w:t>InTASC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0D1A" w14:textId="2BBD4043" w:rsidR="4779AAB1" w:rsidRDefault="4779AAB1" w:rsidP="4779AAB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779AAB1">
              <w:rPr>
                <w:rFonts w:ascii="Calibri" w:eastAsia="Calibri" w:hAnsi="Calibri" w:cs="Calibri"/>
                <w:b/>
                <w:bCs/>
                <w:color w:val="000000" w:themeColor="text1"/>
              </w:rPr>
              <w:t>Type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C94B" w14:textId="04A5AC77" w:rsidR="4779AAB1" w:rsidRDefault="4779AAB1" w:rsidP="4779AAB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779AAB1">
              <w:rPr>
                <w:rFonts w:ascii="Calibri" w:eastAsia="Calibri" w:hAnsi="Calibri" w:cs="Calibri"/>
                <w:b/>
                <w:bCs/>
                <w:color w:val="000000" w:themeColor="text1"/>
              </w:rPr>
              <w:t>Specific Standard</w:t>
            </w:r>
          </w:p>
        </w:tc>
      </w:tr>
      <w:tr w:rsidR="006302E6" w:rsidRPr="006302E6" w14:paraId="73925FAA" w14:textId="77777777" w:rsidTr="4779AAB1">
        <w:trPr>
          <w:trHeight w:val="81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4F58" w14:textId="05DE5260" w:rsidR="001C4A11" w:rsidRPr="006302E6" w:rsidRDefault="00F24A63" w:rsidP="022801D0">
            <w:pPr>
              <w:spacing w:after="0" w:line="240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2h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9DCA" w14:textId="723DACC9" w:rsidR="001C4A11" w:rsidRPr="006302E6" w:rsidRDefault="006302E6" w:rsidP="022801D0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</w:rPr>
            </w:pPr>
            <w:r w:rsidRPr="006302E6">
              <w:rPr>
                <w:rFonts w:eastAsiaTheme="minorEastAsia"/>
                <w:color w:val="000000" w:themeColor="text1"/>
              </w:rPr>
              <w:t>Knowledge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186B" w14:textId="5AC66237" w:rsidR="001C4A11" w:rsidRPr="006302E6" w:rsidRDefault="00F24A63" w:rsidP="022801D0">
            <w:pPr>
              <w:spacing w:after="0" w:line="240" w:lineRule="auto"/>
              <w:rPr>
                <w:rFonts w:eastAsiaTheme="minorEastAsia"/>
                <w:color w:val="000000" w:themeColor="text1"/>
              </w:rPr>
            </w:pPr>
            <w:r w:rsidRPr="00F24A63">
              <w:rPr>
                <w:rFonts w:eastAsiaTheme="minorEastAsia"/>
                <w:color w:val="000000" w:themeColor="text1"/>
              </w:rPr>
              <w:t>The teacher understands students with exceptional needs, including those associated with disabilities and giftedness, and knows how to use strategies and resources to address these needs.</w:t>
            </w:r>
          </w:p>
        </w:tc>
      </w:tr>
      <w:tr w:rsidR="00F24A63" w:rsidRPr="006302E6" w14:paraId="03E712E4" w14:textId="77777777" w:rsidTr="4779AAB1">
        <w:trPr>
          <w:trHeight w:val="81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AFCA" w14:textId="08D2929A" w:rsidR="00F24A63" w:rsidRDefault="00F24A63" w:rsidP="022801D0">
            <w:pPr>
              <w:spacing w:after="0" w:line="240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6u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C69A" w14:textId="46E4BB7A" w:rsidR="00F24A63" w:rsidRPr="006302E6" w:rsidRDefault="00F24A63" w:rsidP="022801D0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Disposition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E334" w14:textId="05AA51C1" w:rsidR="00F24A63" w:rsidRPr="006302E6" w:rsidRDefault="00F24A63" w:rsidP="022801D0">
            <w:pPr>
              <w:spacing w:after="0" w:line="240" w:lineRule="auto"/>
              <w:rPr>
                <w:rFonts w:eastAsiaTheme="minorEastAsia"/>
                <w:color w:val="000000" w:themeColor="text1"/>
              </w:rPr>
            </w:pPr>
            <w:r w:rsidRPr="00F24A63">
              <w:rPr>
                <w:rFonts w:eastAsiaTheme="minorEastAsia"/>
                <w:color w:val="000000" w:themeColor="text1"/>
              </w:rPr>
              <w:t>The teacher is committed to making accommodations in assessments and testing conditions, especially for learners with disabilities and language learning needs.</w:t>
            </w:r>
          </w:p>
        </w:tc>
      </w:tr>
      <w:tr w:rsidR="006302E6" w:rsidRPr="006302E6" w14:paraId="06819A9B" w14:textId="77777777" w:rsidTr="4779AAB1">
        <w:trPr>
          <w:trHeight w:val="81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63C3" w14:textId="34BCCBDA" w:rsidR="4AA5E290" w:rsidRPr="006302E6" w:rsidRDefault="006302E6" w:rsidP="022801D0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 w:rsidRPr="006302E6">
              <w:rPr>
                <w:rFonts w:eastAsiaTheme="minorEastAsia"/>
                <w:color w:val="000000" w:themeColor="text1"/>
              </w:rPr>
              <w:t>7p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B657" w14:textId="2DA50700" w:rsidR="4AA5E290" w:rsidRPr="006302E6" w:rsidRDefault="6A1ABB8F" w:rsidP="022801D0">
            <w:pPr>
              <w:spacing w:line="240" w:lineRule="auto"/>
              <w:jc w:val="center"/>
              <w:rPr>
                <w:rFonts w:eastAsiaTheme="minorEastAsia"/>
                <w:color w:val="000000" w:themeColor="text1"/>
              </w:rPr>
            </w:pPr>
            <w:r w:rsidRPr="006302E6">
              <w:rPr>
                <w:rFonts w:eastAsiaTheme="minorEastAsia"/>
                <w:color w:val="000000" w:themeColor="text1"/>
              </w:rPr>
              <w:t>Disposition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3A67" w14:textId="4B468355" w:rsidR="4AA5E290" w:rsidRPr="006302E6" w:rsidRDefault="006302E6" w:rsidP="022801D0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 w:rsidRPr="006302E6">
              <w:rPr>
                <w:rFonts w:eastAsiaTheme="minorEastAsia"/>
                <w:color w:val="000000" w:themeColor="text1"/>
              </w:rPr>
              <w:t>The teacher takes professional responsibility to use short- and long-term planning as a means of assuring student learning.</w:t>
            </w:r>
          </w:p>
        </w:tc>
      </w:tr>
    </w:tbl>
    <w:p w14:paraId="2E3F758A" w14:textId="078C4EC1" w:rsidR="00640EA3" w:rsidRPr="006302E6" w:rsidRDefault="007672C4" w:rsidP="00640EA3">
      <w:pPr>
        <w:pStyle w:val="Heading2"/>
        <w:rPr>
          <w:color w:val="000000" w:themeColor="text1"/>
        </w:rPr>
      </w:pPr>
      <w:r>
        <w:rPr>
          <w:color w:val="000000" w:themeColor="text1"/>
        </w:rPr>
        <w:t>Activity</w:t>
      </w:r>
      <w:r w:rsidR="00640EA3" w:rsidRPr="006302E6">
        <w:rPr>
          <w:color w:val="000000" w:themeColor="text1"/>
        </w:rPr>
        <w:t xml:space="preserve"> Instructions </w:t>
      </w:r>
    </w:p>
    <w:p w14:paraId="538D060C" w14:textId="6F17DC18" w:rsidR="00640EA3" w:rsidRPr="0028793F" w:rsidRDefault="00640EA3" w:rsidP="0028793F">
      <w:pPr>
        <w:pStyle w:val="Heading3"/>
      </w:pPr>
      <w:r w:rsidRPr="0028793F">
        <w:t>Purpose</w:t>
      </w:r>
    </w:p>
    <w:p w14:paraId="234BA130" w14:textId="69E7093C" w:rsidR="23601A01" w:rsidRDefault="23601A01" w:rsidP="0A86E87A">
      <w:pPr>
        <w:rPr>
          <w:color w:val="000000" w:themeColor="text1"/>
        </w:rPr>
      </w:pPr>
      <w:r w:rsidRPr="2B1FBB93">
        <w:rPr>
          <w:color w:val="000000" w:themeColor="text1"/>
        </w:rPr>
        <w:t xml:space="preserve">Special education services exist </w:t>
      </w:r>
      <w:r w:rsidR="2F3A4BFD" w:rsidRPr="2B1FBB93">
        <w:rPr>
          <w:color w:val="000000" w:themeColor="text1"/>
        </w:rPr>
        <w:t>so that</w:t>
      </w:r>
      <w:r w:rsidRPr="2B1FBB93">
        <w:rPr>
          <w:color w:val="000000" w:themeColor="text1"/>
        </w:rPr>
        <w:t xml:space="preserve"> students with disabilities </w:t>
      </w:r>
      <w:r w:rsidR="1D58F578" w:rsidRPr="2B1FBB93">
        <w:rPr>
          <w:color w:val="000000" w:themeColor="text1"/>
        </w:rPr>
        <w:t xml:space="preserve">can be successful and </w:t>
      </w:r>
      <w:r w:rsidRPr="2B1FBB93">
        <w:rPr>
          <w:color w:val="000000" w:themeColor="text1"/>
        </w:rPr>
        <w:t>thrive in academic settings</w:t>
      </w:r>
      <w:r w:rsidR="4AFD3831" w:rsidRPr="2B1FBB93">
        <w:rPr>
          <w:color w:val="000000" w:themeColor="text1"/>
        </w:rPr>
        <w:t xml:space="preserve">. </w:t>
      </w:r>
      <w:r w:rsidR="63A48D07" w:rsidRPr="2B1FBB93">
        <w:rPr>
          <w:color w:val="000000" w:themeColor="text1"/>
        </w:rPr>
        <w:t xml:space="preserve">However, some </w:t>
      </w:r>
      <w:r w:rsidR="3BD2E9D4" w:rsidRPr="2B1FBB93">
        <w:rPr>
          <w:color w:val="000000" w:themeColor="text1"/>
        </w:rPr>
        <w:t>criticisms</w:t>
      </w:r>
      <w:r w:rsidR="60D9862B" w:rsidRPr="2B1FBB93">
        <w:rPr>
          <w:color w:val="000000" w:themeColor="text1"/>
        </w:rPr>
        <w:t xml:space="preserve"> exist</w:t>
      </w:r>
      <w:r w:rsidR="3BD2E9D4" w:rsidRPr="2B1FBB93">
        <w:rPr>
          <w:color w:val="000000" w:themeColor="text1"/>
        </w:rPr>
        <w:t xml:space="preserve"> regarding </w:t>
      </w:r>
      <w:r w:rsidR="545E6594" w:rsidRPr="2B1FBB93">
        <w:rPr>
          <w:color w:val="000000" w:themeColor="text1"/>
        </w:rPr>
        <w:t xml:space="preserve">how </w:t>
      </w:r>
      <w:r w:rsidR="6CF7DD4E" w:rsidRPr="2B1FBB93">
        <w:rPr>
          <w:color w:val="000000" w:themeColor="text1"/>
        </w:rPr>
        <w:t xml:space="preserve">students </w:t>
      </w:r>
      <w:r w:rsidR="282825B8" w:rsidRPr="2B1FBB93">
        <w:rPr>
          <w:color w:val="000000" w:themeColor="text1"/>
        </w:rPr>
        <w:t xml:space="preserve">are identified </w:t>
      </w:r>
      <w:r w:rsidR="6CF7DD4E" w:rsidRPr="2B1FBB93">
        <w:rPr>
          <w:color w:val="000000" w:themeColor="text1"/>
        </w:rPr>
        <w:t>for</w:t>
      </w:r>
      <w:r w:rsidR="27983CCD" w:rsidRPr="2B1FBB93">
        <w:rPr>
          <w:color w:val="000000" w:themeColor="text1"/>
        </w:rPr>
        <w:t xml:space="preserve"> needing</w:t>
      </w:r>
      <w:r w:rsidR="6CF7DD4E" w:rsidRPr="2B1FBB93">
        <w:rPr>
          <w:color w:val="000000" w:themeColor="text1"/>
        </w:rPr>
        <w:t xml:space="preserve"> s</w:t>
      </w:r>
      <w:r w:rsidR="75B2EA27" w:rsidRPr="2B1FBB93">
        <w:rPr>
          <w:color w:val="000000" w:themeColor="text1"/>
        </w:rPr>
        <w:t xml:space="preserve">ervices and </w:t>
      </w:r>
      <w:r w:rsidR="729CAA03" w:rsidRPr="2B1FBB93">
        <w:rPr>
          <w:color w:val="000000" w:themeColor="text1"/>
        </w:rPr>
        <w:t xml:space="preserve">how those </w:t>
      </w:r>
      <w:r w:rsidR="75B2EA27" w:rsidRPr="2B1FBB93">
        <w:rPr>
          <w:color w:val="000000" w:themeColor="text1"/>
        </w:rPr>
        <w:t>s</w:t>
      </w:r>
      <w:r w:rsidR="729CAA03" w:rsidRPr="2B1FBB93">
        <w:rPr>
          <w:color w:val="000000" w:themeColor="text1"/>
        </w:rPr>
        <w:t>ervices are implemented</w:t>
      </w:r>
      <w:r w:rsidR="75B2EA27" w:rsidRPr="2B1FBB93">
        <w:rPr>
          <w:color w:val="000000" w:themeColor="text1"/>
        </w:rPr>
        <w:t xml:space="preserve">. </w:t>
      </w:r>
      <w:r w:rsidR="166B5F5F" w:rsidRPr="2B1FBB93">
        <w:rPr>
          <w:color w:val="000000" w:themeColor="text1"/>
        </w:rPr>
        <w:t xml:space="preserve">As with any process, the special education services process has some </w:t>
      </w:r>
      <w:r w:rsidR="6A6849FA" w:rsidRPr="2B1FBB93">
        <w:rPr>
          <w:color w:val="000000" w:themeColor="text1"/>
        </w:rPr>
        <w:t>room for improvement</w:t>
      </w:r>
      <w:r w:rsidR="166B5F5F" w:rsidRPr="2B1FBB93">
        <w:rPr>
          <w:color w:val="000000" w:themeColor="text1"/>
        </w:rPr>
        <w:t xml:space="preserve">. </w:t>
      </w:r>
    </w:p>
    <w:p w14:paraId="69FB2F45" w14:textId="0B0089A0" w:rsidR="166B5F5F" w:rsidRDefault="166B5F5F" w:rsidP="4292042A">
      <w:pPr>
        <w:rPr>
          <w:color w:val="000000" w:themeColor="text1"/>
        </w:rPr>
      </w:pPr>
      <w:r w:rsidRPr="3FC50E42">
        <w:rPr>
          <w:color w:val="000000" w:themeColor="text1"/>
        </w:rPr>
        <w:t>This activity invites you to consider</w:t>
      </w:r>
      <w:r w:rsidR="4BF3788F" w:rsidRPr="3FC50E42">
        <w:rPr>
          <w:color w:val="000000" w:themeColor="text1"/>
        </w:rPr>
        <w:t xml:space="preserve"> how this process could be improved</w:t>
      </w:r>
      <w:r w:rsidR="7C933105" w:rsidRPr="3FC50E42">
        <w:rPr>
          <w:color w:val="000000" w:themeColor="text1"/>
        </w:rPr>
        <w:t xml:space="preserve"> and reflect on ways that you can work </w:t>
      </w:r>
      <w:r w:rsidR="02769244" w:rsidRPr="3FC50E42">
        <w:rPr>
          <w:color w:val="000000" w:themeColor="text1"/>
        </w:rPr>
        <w:t xml:space="preserve">to improve it from a teacher's standpoint. </w:t>
      </w:r>
      <w:r w:rsidR="5C40CB93" w:rsidRPr="3FC50E42">
        <w:rPr>
          <w:color w:val="000000" w:themeColor="text1"/>
        </w:rPr>
        <w:t>Through a discussion with your classmates, you will have the opportunity to reflect on the issues mentioned within the article</w:t>
      </w:r>
      <w:r w:rsidR="08BA51DD" w:rsidRPr="3FC50E42">
        <w:rPr>
          <w:color w:val="000000" w:themeColor="text1"/>
        </w:rPr>
        <w:t xml:space="preserve"> </w:t>
      </w:r>
      <w:hyperlink r:id="rId10">
        <w:r w:rsidR="08BA51DD" w:rsidRPr="3FC50E42">
          <w:rPr>
            <w:rStyle w:val="Hyperlink"/>
          </w:rPr>
          <w:t>“Special Education Is Broken”</w:t>
        </w:r>
      </w:hyperlink>
      <w:r w:rsidR="5C40CB93" w:rsidRPr="3FC50E42">
        <w:rPr>
          <w:color w:val="000000" w:themeColor="text1"/>
        </w:rPr>
        <w:t xml:space="preserve"> and consider ways </w:t>
      </w:r>
      <w:r w:rsidR="2F4A4386" w:rsidRPr="3FC50E42">
        <w:rPr>
          <w:color w:val="000000" w:themeColor="text1"/>
        </w:rPr>
        <w:t xml:space="preserve">to work to improve the issues. </w:t>
      </w:r>
    </w:p>
    <w:p w14:paraId="5D72E2D1" w14:textId="03BC7363" w:rsidR="3FC50E42" w:rsidRDefault="3FC50E42" w:rsidP="3FC50E42">
      <w:pPr>
        <w:pStyle w:val="Heading3"/>
        <w:rPr>
          <w:color w:val="000000" w:themeColor="text1"/>
        </w:rPr>
      </w:pPr>
    </w:p>
    <w:p w14:paraId="6DF305AB" w14:textId="1CDF8AC3" w:rsidR="7398E66C" w:rsidRPr="006302E6" w:rsidRDefault="7398E66C" w:rsidP="32B0AE5C">
      <w:pPr>
        <w:pStyle w:val="Heading3"/>
        <w:rPr>
          <w:color w:val="000000" w:themeColor="text1"/>
        </w:rPr>
      </w:pPr>
      <w:r w:rsidRPr="006302E6">
        <w:rPr>
          <w:color w:val="000000" w:themeColor="text1"/>
        </w:rPr>
        <w:t>Task</w:t>
      </w:r>
    </w:p>
    <w:p w14:paraId="74879862" w14:textId="551B0EBD" w:rsidR="0DC74B7B" w:rsidRPr="0028793F" w:rsidRDefault="0DC74B7B" w:rsidP="4779AAB1">
      <w:pPr>
        <w:pStyle w:val="Heading4"/>
      </w:pPr>
      <w:r>
        <w:t>Instructor Preparation</w:t>
      </w:r>
      <w:r w:rsidR="6D9DF035">
        <w:t xml:space="preserve"> for Activity</w:t>
      </w:r>
    </w:p>
    <w:p w14:paraId="3501C080" w14:textId="5DFFF35E" w:rsidR="0E9CB61F" w:rsidRDefault="0E9CB61F" w:rsidP="4292042A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4CFA56BD">
        <w:rPr>
          <w:color w:val="000000" w:themeColor="text1"/>
        </w:rPr>
        <w:t>Provide students with a</w:t>
      </w:r>
      <w:r w:rsidR="6FA560FD" w:rsidRPr="4CFA56BD">
        <w:rPr>
          <w:color w:val="000000" w:themeColor="text1"/>
        </w:rPr>
        <w:t>ccess to</w:t>
      </w:r>
      <w:r w:rsidRPr="4CFA56BD">
        <w:rPr>
          <w:color w:val="000000" w:themeColor="text1"/>
        </w:rPr>
        <w:t xml:space="preserve"> </w:t>
      </w:r>
      <w:hyperlink r:id="rId11">
        <w:r w:rsidRPr="4CFA56BD">
          <w:rPr>
            <w:rStyle w:val="Hyperlink"/>
          </w:rPr>
          <w:t>“Special Education Is Broken”</w:t>
        </w:r>
      </w:hyperlink>
      <w:r w:rsidRPr="4CFA56BD">
        <w:rPr>
          <w:color w:val="000000" w:themeColor="text1"/>
        </w:rPr>
        <w:t xml:space="preserve"> </w:t>
      </w:r>
    </w:p>
    <w:p w14:paraId="0FB72493" w14:textId="5C5362E1" w:rsidR="55439884" w:rsidRDefault="55439884" w:rsidP="4292042A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4292042A">
        <w:rPr>
          <w:color w:val="000000" w:themeColor="text1"/>
        </w:rPr>
        <w:t xml:space="preserve">Read article before class </w:t>
      </w:r>
    </w:p>
    <w:p w14:paraId="75A9BF25" w14:textId="03BA4EE7" w:rsidR="55439884" w:rsidRDefault="55439884" w:rsidP="4292042A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4292042A">
        <w:rPr>
          <w:color w:val="000000" w:themeColor="text1"/>
        </w:rPr>
        <w:t xml:space="preserve">Split students into groups of 4-5 </w:t>
      </w:r>
    </w:p>
    <w:p w14:paraId="4DD1D7AC" w14:textId="1138F61E" w:rsidR="59FB5E6F" w:rsidRPr="0028793F" w:rsidRDefault="0DC74B7B" w:rsidP="0028793F">
      <w:pPr>
        <w:pStyle w:val="Heading4"/>
      </w:pPr>
      <w:r>
        <w:t>Student Directions</w:t>
      </w:r>
    </w:p>
    <w:p w14:paraId="19B8BF00" w14:textId="756B9804" w:rsidR="65D2D977" w:rsidRPr="006302E6" w:rsidRDefault="65D2D977" w:rsidP="31049C61">
      <w:pPr>
        <w:rPr>
          <w:color w:val="000000" w:themeColor="text1"/>
        </w:rPr>
      </w:pPr>
      <w:r w:rsidRPr="4292042A">
        <w:rPr>
          <w:color w:val="000000" w:themeColor="text1"/>
        </w:rPr>
        <w:t xml:space="preserve">For this activity, you will work as a </w:t>
      </w:r>
      <w:r w:rsidR="3EBF6CD1" w:rsidRPr="4292042A">
        <w:rPr>
          <w:color w:val="000000" w:themeColor="text1"/>
        </w:rPr>
        <w:t xml:space="preserve">small </w:t>
      </w:r>
      <w:r w:rsidRPr="4292042A">
        <w:rPr>
          <w:color w:val="000000" w:themeColor="text1"/>
        </w:rPr>
        <w:t>group.</w:t>
      </w:r>
    </w:p>
    <w:p w14:paraId="2E201023" w14:textId="6E10A4A6" w:rsidR="47954896" w:rsidRDefault="47954896" w:rsidP="4292042A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4292042A">
        <w:rPr>
          <w:color w:val="000000" w:themeColor="text1"/>
        </w:rPr>
        <w:t xml:space="preserve">Read the article </w:t>
      </w:r>
      <w:hyperlink r:id="rId12">
        <w:r w:rsidRPr="4292042A">
          <w:rPr>
            <w:rStyle w:val="Hyperlink"/>
          </w:rPr>
          <w:t>“Special Education Is Broken”</w:t>
        </w:r>
      </w:hyperlink>
      <w:r>
        <w:t xml:space="preserve"> aloud, each student reading one paragraph at a time. </w:t>
      </w:r>
    </w:p>
    <w:p w14:paraId="024C8400" w14:textId="790F6ECE" w:rsidR="544D8680" w:rsidRPr="006302E6" w:rsidRDefault="0045663C" w:rsidP="00612ECA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4292042A">
        <w:rPr>
          <w:color w:val="000000" w:themeColor="text1"/>
        </w:rPr>
        <w:t>Discuss the following with your peers:</w:t>
      </w:r>
    </w:p>
    <w:p w14:paraId="084F21A7" w14:textId="28433498" w:rsidR="00C56D77" w:rsidRPr="006302E6" w:rsidRDefault="204B1343" w:rsidP="0045663C">
      <w:pPr>
        <w:pStyle w:val="ListParagraph"/>
        <w:numPr>
          <w:ilvl w:val="1"/>
          <w:numId w:val="6"/>
        </w:numPr>
        <w:rPr>
          <w:color w:val="000000" w:themeColor="text1"/>
        </w:rPr>
      </w:pPr>
      <w:r w:rsidRPr="4292042A">
        <w:rPr>
          <w:color w:val="000000" w:themeColor="text1"/>
        </w:rPr>
        <w:t xml:space="preserve">What are some issues mentioned within the article? </w:t>
      </w:r>
    </w:p>
    <w:p w14:paraId="54BDC94B" w14:textId="408A3B7B" w:rsidR="00C56D77" w:rsidRPr="006302E6" w:rsidRDefault="204B1343" w:rsidP="0045663C">
      <w:pPr>
        <w:pStyle w:val="ListParagraph"/>
        <w:numPr>
          <w:ilvl w:val="1"/>
          <w:numId w:val="6"/>
        </w:numPr>
        <w:rPr>
          <w:color w:val="000000" w:themeColor="text1"/>
        </w:rPr>
      </w:pPr>
      <w:r w:rsidRPr="4292042A">
        <w:rPr>
          <w:color w:val="000000" w:themeColor="text1"/>
        </w:rPr>
        <w:t>Are there opportunities for you, as a teacher, to work against these issues so they happen less often?</w:t>
      </w:r>
    </w:p>
    <w:p w14:paraId="412DD024" w14:textId="0656C0B5" w:rsidR="00C56D77" w:rsidRPr="006302E6" w:rsidRDefault="204B1343" w:rsidP="0045663C">
      <w:pPr>
        <w:pStyle w:val="ListParagraph"/>
        <w:numPr>
          <w:ilvl w:val="1"/>
          <w:numId w:val="6"/>
        </w:numPr>
        <w:rPr>
          <w:color w:val="000000" w:themeColor="text1"/>
        </w:rPr>
      </w:pPr>
      <w:r w:rsidRPr="49316358">
        <w:rPr>
          <w:color w:val="000000" w:themeColor="text1"/>
        </w:rPr>
        <w:t>Based on what you read in the article, do you think special education is broken? Why or why not?</w:t>
      </w:r>
      <w:r w:rsidR="503C2E75" w:rsidRPr="49316358">
        <w:rPr>
          <w:color w:val="000000" w:themeColor="text1"/>
        </w:rPr>
        <w:t xml:space="preserve"> </w:t>
      </w:r>
    </w:p>
    <w:p w14:paraId="7C8D8D2F" w14:textId="178C2577" w:rsidR="49316358" w:rsidRDefault="49316358" w:rsidP="49316358">
      <w:pPr>
        <w:rPr>
          <w:rFonts w:ascii="Calibri" w:eastAsia="Calibri" w:hAnsi="Calibri" w:cs="Calibri"/>
          <w:color w:val="000000" w:themeColor="text1"/>
        </w:rPr>
      </w:pPr>
    </w:p>
    <w:sectPr w:rsidR="49316358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3E041" w14:textId="77777777" w:rsidR="00E26947" w:rsidRDefault="00E26947" w:rsidP="00C66B7B">
      <w:pPr>
        <w:spacing w:after="0" w:line="240" w:lineRule="auto"/>
      </w:pPr>
      <w:r>
        <w:separator/>
      </w:r>
    </w:p>
  </w:endnote>
  <w:endnote w:type="continuationSeparator" w:id="0">
    <w:p w14:paraId="1F9A2B0C" w14:textId="77777777" w:rsidR="00E26947" w:rsidRDefault="00E26947" w:rsidP="00C66B7B">
      <w:pPr>
        <w:spacing w:after="0" w:line="240" w:lineRule="auto"/>
      </w:pPr>
      <w:r>
        <w:continuationSeparator/>
      </w:r>
    </w:p>
  </w:endnote>
  <w:endnote w:type="continuationNotice" w:id="1">
    <w:p w14:paraId="511ADB1D" w14:textId="77777777" w:rsidR="00E26947" w:rsidRDefault="00E269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13BA2" w14:textId="77777777" w:rsidR="00C66B7B" w:rsidRDefault="00C66B7B" w:rsidP="00C66B7B">
    <w:pPr>
      <w:pStyle w:val="Footer"/>
    </w:pPr>
    <w:r>
      <w:rPr>
        <w:noProof/>
      </w:rPr>
      <w:drawing>
        <wp:inline distT="0" distB="0" distL="0" distR="0" wp14:anchorId="2CA96B80" wp14:editId="7A8DE96F">
          <wp:extent cx="572494" cy="200302"/>
          <wp:effectExtent l="0" t="0" r="0" b="9525"/>
          <wp:docPr id="1558662969" name="Picture 1" descr="Creative Commons Attribution (CC BY)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662969" name="Picture 1" descr="Creative Commons Attribution (CC BY) ic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6" cy="207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Activity Template by Minnesota State is licensed under a </w:t>
    </w:r>
    <w:hyperlink r:id="rId2" w:history="1">
      <w:r w:rsidRPr="00EF4680">
        <w:rPr>
          <w:rStyle w:val="Hyperlink"/>
        </w:rPr>
        <w:t>Creative Commons Attribution 4.0 International License</w:t>
      </w:r>
    </w:hyperlink>
  </w:p>
  <w:p w14:paraId="34B36283" w14:textId="77777777" w:rsidR="00C66B7B" w:rsidRDefault="00C66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70934" w14:textId="77777777" w:rsidR="00E26947" w:rsidRDefault="00E26947" w:rsidP="00C66B7B">
      <w:pPr>
        <w:spacing w:after="0" w:line="240" w:lineRule="auto"/>
      </w:pPr>
      <w:r>
        <w:separator/>
      </w:r>
    </w:p>
  </w:footnote>
  <w:footnote w:type="continuationSeparator" w:id="0">
    <w:p w14:paraId="4C49E21C" w14:textId="77777777" w:rsidR="00E26947" w:rsidRDefault="00E26947" w:rsidP="00C66B7B">
      <w:pPr>
        <w:spacing w:after="0" w:line="240" w:lineRule="auto"/>
      </w:pPr>
      <w:r>
        <w:continuationSeparator/>
      </w:r>
    </w:p>
  </w:footnote>
  <w:footnote w:type="continuationNotice" w:id="1">
    <w:p w14:paraId="08B20974" w14:textId="77777777" w:rsidR="00E26947" w:rsidRDefault="00E2694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6AA80"/>
    <w:multiLevelType w:val="hybridMultilevel"/>
    <w:tmpl w:val="C19C3196"/>
    <w:lvl w:ilvl="0" w:tplc="D396C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2E8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A017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0E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6A8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B4C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84C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01E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EC6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0FAEC"/>
    <w:multiLevelType w:val="hybridMultilevel"/>
    <w:tmpl w:val="F29CDC24"/>
    <w:lvl w:ilvl="0" w:tplc="E2C4F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B40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B08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1EE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2E9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E42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F4A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ECEC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E83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49EFC"/>
    <w:multiLevelType w:val="hybridMultilevel"/>
    <w:tmpl w:val="5AACCE46"/>
    <w:lvl w:ilvl="0" w:tplc="E5907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38D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58D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AD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845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E8D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728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A0A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C6D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F8854"/>
    <w:multiLevelType w:val="hybridMultilevel"/>
    <w:tmpl w:val="E190E9C6"/>
    <w:lvl w:ilvl="0" w:tplc="D292D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C40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62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26E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3E6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487E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FC4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5CD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EAC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FB81F"/>
    <w:multiLevelType w:val="hybridMultilevel"/>
    <w:tmpl w:val="D690F7FC"/>
    <w:lvl w:ilvl="0" w:tplc="454AA494">
      <w:start w:val="1"/>
      <w:numFmt w:val="decimal"/>
      <w:lvlText w:val="%1."/>
      <w:lvlJc w:val="left"/>
      <w:pPr>
        <w:ind w:left="720" w:hanging="360"/>
      </w:pPr>
    </w:lvl>
    <w:lvl w:ilvl="1" w:tplc="4094C148">
      <w:start w:val="1"/>
      <w:numFmt w:val="lowerLetter"/>
      <w:lvlText w:val="%2."/>
      <w:lvlJc w:val="left"/>
      <w:pPr>
        <w:ind w:left="1440" w:hanging="360"/>
      </w:pPr>
    </w:lvl>
    <w:lvl w:ilvl="2" w:tplc="7C3474E8">
      <w:start w:val="1"/>
      <w:numFmt w:val="lowerRoman"/>
      <w:lvlText w:val="%3."/>
      <w:lvlJc w:val="right"/>
      <w:pPr>
        <w:ind w:left="2160" w:hanging="180"/>
      </w:pPr>
    </w:lvl>
    <w:lvl w:ilvl="3" w:tplc="75001334">
      <w:start w:val="1"/>
      <w:numFmt w:val="decimal"/>
      <w:lvlText w:val="%4."/>
      <w:lvlJc w:val="left"/>
      <w:pPr>
        <w:ind w:left="2880" w:hanging="360"/>
      </w:pPr>
    </w:lvl>
    <w:lvl w:ilvl="4" w:tplc="38FEDA5A">
      <w:start w:val="1"/>
      <w:numFmt w:val="lowerLetter"/>
      <w:lvlText w:val="%5."/>
      <w:lvlJc w:val="left"/>
      <w:pPr>
        <w:ind w:left="3600" w:hanging="360"/>
      </w:pPr>
    </w:lvl>
    <w:lvl w:ilvl="5" w:tplc="5956BCFC">
      <w:start w:val="1"/>
      <w:numFmt w:val="lowerRoman"/>
      <w:lvlText w:val="%6."/>
      <w:lvlJc w:val="right"/>
      <w:pPr>
        <w:ind w:left="4320" w:hanging="180"/>
      </w:pPr>
    </w:lvl>
    <w:lvl w:ilvl="6" w:tplc="A9280D20">
      <w:start w:val="1"/>
      <w:numFmt w:val="decimal"/>
      <w:lvlText w:val="%7."/>
      <w:lvlJc w:val="left"/>
      <w:pPr>
        <w:ind w:left="5040" w:hanging="360"/>
      </w:pPr>
    </w:lvl>
    <w:lvl w:ilvl="7" w:tplc="EB9ED246">
      <w:start w:val="1"/>
      <w:numFmt w:val="lowerLetter"/>
      <w:lvlText w:val="%8."/>
      <w:lvlJc w:val="left"/>
      <w:pPr>
        <w:ind w:left="5760" w:hanging="360"/>
      </w:pPr>
    </w:lvl>
    <w:lvl w:ilvl="8" w:tplc="6EAC452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19C6A"/>
    <w:multiLevelType w:val="hybridMultilevel"/>
    <w:tmpl w:val="0C80F0F2"/>
    <w:lvl w:ilvl="0" w:tplc="3AD44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2299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A0A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F8A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AFE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6C1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E5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5A3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ECC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802385">
    <w:abstractNumId w:val="1"/>
  </w:num>
  <w:num w:numId="2" w16cid:durableId="660475317">
    <w:abstractNumId w:val="5"/>
  </w:num>
  <w:num w:numId="3" w16cid:durableId="1216429873">
    <w:abstractNumId w:val="0"/>
  </w:num>
  <w:num w:numId="4" w16cid:durableId="1145702852">
    <w:abstractNumId w:val="3"/>
  </w:num>
  <w:num w:numId="5" w16cid:durableId="17322222">
    <w:abstractNumId w:val="2"/>
  </w:num>
  <w:num w:numId="6" w16cid:durableId="7022427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2EBCEA"/>
    <w:rsid w:val="00147835"/>
    <w:rsid w:val="001620D2"/>
    <w:rsid w:val="00176984"/>
    <w:rsid w:val="001A6921"/>
    <w:rsid w:val="001C4A11"/>
    <w:rsid w:val="0028793F"/>
    <w:rsid w:val="00355E72"/>
    <w:rsid w:val="003932FE"/>
    <w:rsid w:val="0045663C"/>
    <w:rsid w:val="00465D60"/>
    <w:rsid w:val="004A45B7"/>
    <w:rsid w:val="0055585C"/>
    <w:rsid w:val="00612ECA"/>
    <w:rsid w:val="006302E6"/>
    <w:rsid w:val="00640EA3"/>
    <w:rsid w:val="006426D6"/>
    <w:rsid w:val="00743C94"/>
    <w:rsid w:val="007672C4"/>
    <w:rsid w:val="007B7899"/>
    <w:rsid w:val="00830B7C"/>
    <w:rsid w:val="008310D0"/>
    <w:rsid w:val="00862893"/>
    <w:rsid w:val="008730BE"/>
    <w:rsid w:val="009A1CE7"/>
    <w:rsid w:val="00A04E0D"/>
    <w:rsid w:val="00A448E8"/>
    <w:rsid w:val="00A548C6"/>
    <w:rsid w:val="00A779C5"/>
    <w:rsid w:val="00A9445A"/>
    <w:rsid w:val="00B12773"/>
    <w:rsid w:val="00B96F37"/>
    <w:rsid w:val="00BE2848"/>
    <w:rsid w:val="00BE3C7D"/>
    <w:rsid w:val="00C3683E"/>
    <w:rsid w:val="00C56D77"/>
    <w:rsid w:val="00C66B7B"/>
    <w:rsid w:val="00D26631"/>
    <w:rsid w:val="00E26947"/>
    <w:rsid w:val="00EA0327"/>
    <w:rsid w:val="00EA7BE9"/>
    <w:rsid w:val="00F0040D"/>
    <w:rsid w:val="00F24A63"/>
    <w:rsid w:val="00F26688"/>
    <w:rsid w:val="00F59CCF"/>
    <w:rsid w:val="017B7948"/>
    <w:rsid w:val="022801D0"/>
    <w:rsid w:val="02769244"/>
    <w:rsid w:val="02CE7869"/>
    <w:rsid w:val="0387F5C7"/>
    <w:rsid w:val="07DA4B24"/>
    <w:rsid w:val="085AF733"/>
    <w:rsid w:val="08A627DF"/>
    <w:rsid w:val="08BA51DD"/>
    <w:rsid w:val="099F1FAF"/>
    <w:rsid w:val="0A86E87A"/>
    <w:rsid w:val="0B9307AC"/>
    <w:rsid w:val="0BE41495"/>
    <w:rsid w:val="0C5801DC"/>
    <w:rsid w:val="0CE31D6B"/>
    <w:rsid w:val="0DC74B7B"/>
    <w:rsid w:val="0E87F6EC"/>
    <w:rsid w:val="0E9CB61F"/>
    <w:rsid w:val="0FBAE879"/>
    <w:rsid w:val="106C52F2"/>
    <w:rsid w:val="10C50342"/>
    <w:rsid w:val="11BF97AE"/>
    <w:rsid w:val="12D7C212"/>
    <w:rsid w:val="1308E111"/>
    <w:rsid w:val="166439B0"/>
    <w:rsid w:val="166B5F5F"/>
    <w:rsid w:val="16E464FF"/>
    <w:rsid w:val="17ABFC83"/>
    <w:rsid w:val="18718AB4"/>
    <w:rsid w:val="19470396"/>
    <w:rsid w:val="197E7D59"/>
    <w:rsid w:val="19D12D82"/>
    <w:rsid w:val="1B741518"/>
    <w:rsid w:val="1C2F75E7"/>
    <w:rsid w:val="1D58F578"/>
    <w:rsid w:val="1E612973"/>
    <w:rsid w:val="1F01E970"/>
    <w:rsid w:val="1F55AC8A"/>
    <w:rsid w:val="1FFE2468"/>
    <w:rsid w:val="204B1343"/>
    <w:rsid w:val="20F6542F"/>
    <w:rsid w:val="21335DB2"/>
    <w:rsid w:val="216FEAB4"/>
    <w:rsid w:val="22121C96"/>
    <w:rsid w:val="22B0560E"/>
    <w:rsid w:val="2347BF4D"/>
    <w:rsid w:val="23601A01"/>
    <w:rsid w:val="237741E8"/>
    <w:rsid w:val="265E9323"/>
    <w:rsid w:val="26B6C7BF"/>
    <w:rsid w:val="27983CCD"/>
    <w:rsid w:val="27C744D1"/>
    <w:rsid w:val="282825B8"/>
    <w:rsid w:val="288DBD29"/>
    <w:rsid w:val="2B1FBB93"/>
    <w:rsid w:val="2CFB0BCB"/>
    <w:rsid w:val="2D536D76"/>
    <w:rsid w:val="2DC7F25E"/>
    <w:rsid w:val="2E394F57"/>
    <w:rsid w:val="2E56D76F"/>
    <w:rsid w:val="2E6E0C77"/>
    <w:rsid w:val="2EA68842"/>
    <w:rsid w:val="2F0B3319"/>
    <w:rsid w:val="2F3A4BFD"/>
    <w:rsid w:val="2F4A4386"/>
    <w:rsid w:val="30B25662"/>
    <w:rsid w:val="31049C61"/>
    <w:rsid w:val="31E9DAC1"/>
    <w:rsid w:val="3244512E"/>
    <w:rsid w:val="329508BD"/>
    <w:rsid w:val="32B0AE5C"/>
    <w:rsid w:val="32BCEDA1"/>
    <w:rsid w:val="339D384D"/>
    <w:rsid w:val="355C6DC3"/>
    <w:rsid w:val="35B38122"/>
    <w:rsid w:val="3648B9A2"/>
    <w:rsid w:val="3682E811"/>
    <w:rsid w:val="3711E448"/>
    <w:rsid w:val="3795EE8A"/>
    <w:rsid w:val="37CB61A6"/>
    <w:rsid w:val="381632B8"/>
    <w:rsid w:val="38A20003"/>
    <w:rsid w:val="38ADB4A9"/>
    <w:rsid w:val="390FB8DE"/>
    <w:rsid w:val="3B55A344"/>
    <w:rsid w:val="3BD2E9D4"/>
    <w:rsid w:val="3E3AA32A"/>
    <w:rsid w:val="3E3FFF20"/>
    <w:rsid w:val="3EBF6CD1"/>
    <w:rsid w:val="3F1C58CD"/>
    <w:rsid w:val="3FC50E42"/>
    <w:rsid w:val="40F634BD"/>
    <w:rsid w:val="412EBCEA"/>
    <w:rsid w:val="4292042A"/>
    <w:rsid w:val="44221ABC"/>
    <w:rsid w:val="46068826"/>
    <w:rsid w:val="4779AAB1"/>
    <w:rsid w:val="47954896"/>
    <w:rsid w:val="48593840"/>
    <w:rsid w:val="48CE715A"/>
    <w:rsid w:val="49316358"/>
    <w:rsid w:val="497D55D1"/>
    <w:rsid w:val="4A967438"/>
    <w:rsid w:val="4AA5E290"/>
    <w:rsid w:val="4AFD3831"/>
    <w:rsid w:val="4BF3788F"/>
    <w:rsid w:val="4CFA56BD"/>
    <w:rsid w:val="4D8F9129"/>
    <w:rsid w:val="4E58B47A"/>
    <w:rsid w:val="4E5FCDAA"/>
    <w:rsid w:val="4F26AFF0"/>
    <w:rsid w:val="4F3C8EF0"/>
    <w:rsid w:val="4FCFCA3A"/>
    <w:rsid w:val="4FD63ACA"/>
    <w:rsid w:val="5002A13A"/>
    <w:rsid w:val="503C2E75"/>
    <w:rsid w:val="508AB4F0"/>
    <w:rsid w:val="50E05A48"/>
    <w:rsid w:val="513D8173"/>
    <w:rsid w:val="52397927"/>
    <w:rsid w:val="525D8B20"/>
    <w:rsid w:val="528825B2"/>
    <w:rsid w:val="53149866"/>
    <w:rsid w:val="53FED2AD"/>
    <w:rsid w:val="541F4316"/>
    <w:rsid w:val="544D8680"/>
    <w:rsid w:val="545E6594"/>
    <w:rsid w:val="551E92EB"/>
    <w:rsid w:val="55439884"/>
    <w:rsid w:val="5683B2D7"/>
    <w:rsid w:val="57661470"/>
    <w:rsid w:val="59FB5E6F"/>
    <w:rsid w:val="5A3FC1D5"/>
    <w:rsid w:val="5B6A0DCF"/>
    <w:rsid w:val="5C40CB93"/>
    <w:rsid w:val="5D89C6F2"/>
    <w:rsid w:val="5E1D67C3"/>
    <w:rsid w:val="5E945632"/>
    <w:rsid w:val="5EFED3D2"/>
    <w:rsid w:val="5F418554"/>
    <w:rsid w:val="5F623D1C"/>
    <w:rsid w:val="60153233"/>
    <w:rsid w:val="60D9862B"/>
    <w:rsid w:val="610AD877"/>
    <w:rsid w:val="61A67906"/>
    <w:rsid w:val="61CBF6F4"/>
    <w:rsid w:val="622F65C4"/>
    <w:rsid w:val="6245823D"/>
    <w:rsid w:val="634E9EF8"/>
    <w:rsid w:val="63A48D07"/>
    <w:rsid w:val="6414F677"/>
    <w:rsid w:val="641CE3FD"/>
    <w:rsid w:val="65D1E410"/>
    <w:rsid w:val="65D2D977"/>
    <w:rsid w:val="66863FBA"/>
    <w:rsid w:val="66D8749C"/>
    <w:rsid w:val="6730A938"/>
    <w:rsid w:val="673759D1"/>
    <w:rsid w:val="674C9739"/>
    <w:rsid w:val="6836D7C2"/>
    <w:rsid w:val="68E8679A"/>
    <w:rsid w:val="6A1ABB8F"/>
    <w:rsid w:val="6A6849FA"/>
    <w:rsid w:val="6B6E7884"/>
    <w:rsid w:val="6C3F3F64"/>
    <w:rsid w:val="6CF7DD4E"/>
    <w:rsid w:val="6D9DF035"/>
    <w:rsid w:val="6DC3C643"/>
    <w:rsid w:val="6DDB0FC5"/>
    <w:rsid w:val="6FA560FD"/>
    <w:rsid w:val="700C1770"/>
    <w:rsid w:val="729CAA03"/>
    <w:rsid w:val="7394C8E9"/>
    <w:rsid w:val="7398E66C"/>
    <w:rsid w:val="73DE5125"/>
    <w:rsid w:val="748BFE4F"/>
    <w:rsid w:val="75B2EA27"/>
    <w:rsid w:val="75CED828"/>
    <w:rsid w:val="76BE42B5"/>
    <w:rsid w:val="79381182"/>
    <w:rsid w:val="7965035D"/>
    <w:rsid w:val="7A119EEF"/>
    <w:rsid w:val="7B00D3BE"/>
    <w:rsid w:val="7C3C3AD1"/>
    <w:rsid w:val="7C933105"/>
    <w:rsid w:val="7D790455"/>
    <w:rsid w:val="7E0C8B54"/>
    <w:rsid w:val="7FB6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EBCEA"/>
  <w15:chartTrackingRefBased/>
  <w15:docId w15:val="{37FC0FCE-7900-47C7-BEFA-4CC87D64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147835"/>
    <w:pPr>
      <w:jc w:val="center"/>
      <w:outlineLvl w:val="0"/>
    </w:pPr>
    <w:rPr>
      <w:color w:val="000000" w:themeColor="text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835"/>
    <w:pPr>
      <w:spacing w:after="0" w:line="240" w:lineRule="auto"/>
      <w:textAlignment w:val="baseline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835"/>
    <w:pPr>
      <w:spacing w:after="0" w:line="240" w:lineRule="auto"/>
      <w:textAlignment w:val="baseline"/>
      <w:outlineLvl w:val="2"/>
    </w:pPr>
    <w:rPr>
      <w:rFonts w:ascii="Calibri" w:eastAsia="Times New Roman" w:hAnsi="Calibri" w:cs="Calibri"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4779AA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310D0"/>
    <w:rPr>
      <w:rFonts w:ascii="Calibri" w:eastAsia="Times New Roman" w:hAnsi="Calibri" w:cs="Calibri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47835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A779C5"/>
    <w:rPr>
      <w:rFonts w:ascii="Calibri" w:eastAsia="Times New Roman" w:hAnsi="Calibri" w:cs="Calibr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A69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9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4779AAB1"/>
    <w:rPr>
      <w:rFonts w:asciiTheme="majorHAnsi" w:eastAsiaTheme="majorEastAsia" w:hAnsiTheme="majorHAnsi" w:cstheme="majorBidi"/>
      <w:i/>
      <w:iCs/>
      <w:color w:val="auto"/>
    </w:rPr>
  </w:style>
  <w:style w:type="paragraph" w:styleId="Header">
    <w:name w:val="header"/>
    <w:basedOn w:val="Normal"/>
    <w:link w:val="HeaderChar"/>
    <w:uiPriority w:val="99"/>
    <w:unhideWhenUsed/>
    <w:rsid w:val="00C66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B7B"/>
  </w:style>
  <w:style w:type="paragraph" w:styleId="Footer">
    <w:name w:val="footer"/>
    <w:basedOn w:val="Normal"/>
    <w:link w:val="FooterChar"/>
    <w:uiPriority w:val="99"/>
    <w:unhideWhenUsed/>
    <w:rsid w:val="00C66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dweek.org/teaching-learning/special-education-is-broken/2019/0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week.org/teaching-learning/special-education-is-broken/2019/0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dweek.org/teaching-learning/special-education-is-broken/2019/0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EEA970080C57489DC101EFB051156F" ma:contentTypeVersion="18" ma:contentTypeDescription="Create a new document." ma:contentTypeScope="" ma:versionID="8e2f3d36beb331f7e0de55e1b801ed4c">
  <xsd:schema xmlns:xsd="http://www.w3.org/2001/XMLSchema" xmlns:xs="http://www.w3.org/2001/XMLSchema" xmlns:p="http://schemas.microsoft.com/office/2006/metadata/properties" xmlns:ns2="c7d1901c-c137-4ed4-babd-38ad35a1aece" xmlns:ns3="badb1ed4-2e04-4c47-9b75-2a2edcf738e0" targetNamespace="http://schemas.microsoft.com/office/2006/metadata/properties" ma:root="true" ma:fieldsID="9561d551b6417d3842b9286e7b1937b2" ns2:_="" ns3:_="">
    <xsd:import namespace="c7d1901c-c137-4ed4-babd-38ad35a1aece"/>
    <xsd:import namespace="badb1ed4-2e04-4c47-9b75-2a2edcf73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1901c-c137-4ed4-babd-38ad35a1a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5a9afa-61c7-4e96-8bec-901bd1887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description="Comments related to this folder's item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b1ed4-2e04-4c47-9b75-2a2edcf73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ca34cf-4ff5-4264-81a4-ba1d3603e73f}" ma:internalName="TaxCatchAll" ma:showField="CatchAllData" ma:web="badb1ed4-2e04-4c47-9b75-2a2edcf73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db1ed4-2e04-4c47-9b75-2a2edcf738e0" xsi:nil="true"/>
    <lcf76f155ced4ddcb4097134ff3c332f xmlns="c7d1901c-c137-4ed4-babd-38ad35a1aece">
      <Terms xmlns="http://schemas.microsoft.com/office/infopath/2007/PartnerControls"/>
    </lcf76f155ced4ddcb4097134ff3c332f>
    <Comments xmlns="c7d1901c-c137-4ed4-babd-38ad35a1aece" xsi:nil="true"/>
    <SharedWithUsers xmlns="badb1ed4-2e04-4c47-9b75-2a2edcf738e0">
      <UserInfo>
        <DisplayName>Lynch, Kimberly J</DisplayName>
        <AccountId>19</AccountId>
        <AccountType/>
      </UserInfo>
      <UserInfo>
        <DisplayName>Olesen, Michael J</DisplayName>
        <AccountId>23</AccountId>
        <AccountType/>
      </UserInfo>
      <UserInfo>
        <DisplayName>Williams, Melissa D</DisplayName>
        <AccountId>10838</AccountId>
        <AccountType/>
      </UserInfo>
      <UserInfo>
        <DisplayName>Kelly, Stephen M</DisplayName>
        <AccountId>16</AccountId>
        <AccountType/>
      </UserInfo>
      <UserInfo>
        <DisplayName>Beach, Michelle G</DisplayName>
        <AccountId>8677</AccountId>
        <AccountType/>
      </UserInfo>
      <UserInfo>
        <DisplayName>Elliott, Jodi M</DisplayName>
        <AccountId>92</AccountId>
        <AccountType/>
      </UserInfo>
      <UserInfo>
        <DisplayName>Syring, LeAnne K</DisplayName>
        <AccountId>9086</AccountId>
        <AccountType/>
      </UserInfo>
      <UserInfo>
        <DisplayName>Kennedy, Fran K</DisplayName>
        <AccountId>12834</AccountId>
        <AccountType/>
      </UserInfo>
      <UserInfo>
        <DisplayName>Pettit, Donna R</DisplayName>
        <AccountId>8621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041376-2CD5-4A2A-8CCD-12A65F49B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1901c-c137-4ed4-babd-38ad35a1aece"/>
    <ds:schemaRef ds:uri="badb1ed4-2e04-4c47-9b75-2a2edcf73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C025B0-0E0A-4E52-9553-5FCA2D659086}">
  <ds:schemaRefs>
    <ds:schemaRef ds:uri="http://schemas.microsoft.com/office/2006/metadata/properties"/>
    <ds:schemaRef ds:uri="http://schemas.microsoft.com/office/infopath/2007/PartnerControls"/>
    <ds:schemaRef ds:uri="badb1ed4-2e04-4c47-9b75-2a2edcf738e0"/>
    <ds:schemaRef ds:uri="c7d1901c-c137-4ed4-babd-38ad35a1aece"/>
  </ds:schemaRefs>
</ds:datastoreItem>
</file>

<file path=customXml/itemProps3.xml><?xml version="1.0" encoding="utf-8"?>
<ds:datastoreItem xmlns:ds="http://schemas.openxmlformats.org/officeDocument/2006/customXml" ds:itemID="{5BDF2AD0-1C09-45F9-83BE-4927805DCA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2326</Characters>
  <Application>Microsoft Office Word</Application>
  <DocSecurity>4</DocSecurity>
  <Lines>19</Lines>
  <Paragraphs>5</Paragraphs>
  <ScaleCrop>false</ScaleCrop>
  <Company/>
  <LinksUpToDate>false</LinksUpToDate>
  <CharactersWithSpaces>2729</CharactersWithSpaces>
  <SharedDoc>false</SharedDoc>
  <HLinks>
    <vt:vector size="24" baseType="variant">
      <vt:variant>
        <vt:i4>4587533</vt:i4>
      </vt:variant>
      <vt:variant>
        <vt:i4>6</vt:i4>
      </vt:variant>
      <vt:variant>
        <vt:i4>0</vt:i4>
      </vt:variant>
      <vt:variant>
        <vt:i4>5</vt:i4>
      </vt:variant>
      <vt:variant>
        <vt:lpwstr>https://www.edweek.org/teaching-learning/special-education-is-broken/2019/01</vt:lpwstr>
      </vt:variant>
      <vt:variant>
        <vt:lpwstr/>
      </vt:variant>
      <vt:variant>
        <vt:i4>4587533</vt:i4>
      </vt:variant>
      <vt:variant>
        <vt:i4>3</vt:i4>
      </vt:variant>
      <vt:variant>
        <vt:i4>0</vt:i4>
      </vt:variant>
      <vt:variant>
        <vt:i4>5</vt:i4>
      </vt:variant>
      <vt:variant>
        <vt:lpwstr>https://www.edweek.org/teaching-learning/special-education-is-broken/2019/01</vt:lpwstr>
      </vt:variant>
      <vt:variant>
        <vt:lpwstr/>
      </vt:variant>
      <vt:variant>
        <vt:i4>4587533</vt:i4>
      </vt:variant>
      <vt:variant>
        <vt:i4>0</vt:i4>
      </vt:variant>
      <vt:variant>
        <vt:i4>0</vt:i4>
      </vt:variant>
      <vt:variant>
        <vt:i4>5</vt:i4>
      </vt:variant>
      <vt:variant>
        <vt:lpwstr>https://www.edweek.org/teaching-learning/special-education-is-broken/2019/01</vt:lpwstr>
      </vt:variant>
      <vt:variant>
        <vt:lpwstr/>
      </vt:variant>
      <vt:variant>
        <vt:i4>5308424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https://creativecommons.org/licenses/by/4.0/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Melissa D</dc:creator>
  <cp:keywords/>
  <dc:description/>
  <cp:lastModifiedBy>Kennedy, Fran K</cp:lastModifiedBy>
  <cp:revision>15</cp:revision>
  <dcterms:created xsi:type="dcterms:W3CDTF">2024-01-25T00:07:00Z</dcterms:created>
  <dcterms:modified xsi:type="dcterms:W3CDTF">2024-11-27T19:33:00Z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0x01010002EEA970080C57489DC101EFB051156F</vt:lpwstr>
  </property>
  <property fmtid="{D5CDD505-2E9C-101B-9397-08002B2CF9AE}" pid="3" name="MediaServiceImageTags">
    <vt:lpwstr/>
  </property>
</Properties>
</file>