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63320" w:rsidR="00D26631" w:rsidP="00463320" w:rsidRDefault="270B248A" w14:paraId="2C078E63" w14:textId="329333E3">
      <w:pPr>
        <w:pStyle w:val="Heading1"/>
      </w:pPr>
      <w:r w:rsidRPr="00463320">
        <w:t xml:space="preserve">M3: </w:t>
      </w:r>
      <w:r w:rsidRPr="00463320" w:rsidR="002C633D">
        <w:t xml:space="preserve">Which Decade? </w:t>
      </w:r>
    </w:p>
    <w:p w:rsidRPr="008310D0" w:rsidR="008730BE" w:rsidP="27E6F185" w:rsidRDefault="008730BE" w14:paraId="14C9F6F8" w14:textId="77777777">
      <w:pPr>
        <w:pStyle w:val="Heading2"/>
      </w:pPr>
      <w:r w:rsidRPr="27E6F185">
        <w:t>Course </w:t>
      </w:r>
    </w:p>
    <w:p w:rsidR="008730BE" w:rsidP="27E6F185" w:rsidRDefault="008730BE" w14:paraId="231442C4" w14:textId="77777777">
      <w:pPr>
        <w:rPr>
          <w:rFonts w:ascii="Segoe UI" w:hAnsi="Segoe UI" w:cs="Segoe UI"/>
          <w:sz w:val="18"/>
          <w:szCs w:val="18"/>
        </w:rPr>
      </w:pPr>
      <w:r w:rsidRPr="27E6F185">
        <w:rPr>
          <w:rFonts w:ascii="Calibri" w:hAnsi="Calibri" w:cs="Calibri"/>
        </w:rPr>
        <w:t>Special Education </w:t>
      </w:r>
    </w:p>
    <w:p w:rsidRPr="00463320" w:rsidR="008730BE" w:rsidP="00463320" w:rsidRDefault="008730BE" w14:paraId="5B52154B" w14:textId="5858E713">
      <w:pPr>
        <w:pStyle w:val="Heading2"/>
      </w:pPr>
      <w:r w:rsidRPr="00463320">
        <w:t>Location </w:t>
      </w:r>
    </w:p>
    <w:p w:rsidR="008730BE" w:rsidP="27E6F185" w:rsidRDefault="008730BE" w14:paraId="7707D202" w14:textId="32538DC7">
      <w:pPr>
        <w:rPr>
          <w:rFonts w:ascii="Segoe UI" w:hAnsi="Segoe UI" w:cs="Segoe UI"/>
          <w:sz w:val="18"/>
          <w:szCs w:val="18"/>
        </w:rPr>
      </w:pPr>
      <w:r w:rsidRPr="27E6F185">
        <w:rPr>
          <w:rFonts w:ascii="Calibri" w:hAnsi="Calibri" w:cs="Calibri"/>
        </w:rPr>
        <w:t xml:space="preserve">Module </w:t>
      </w:r>
      <w:r w:rsidRPr="27E6F185" w:rsidR="00E2737D">
        <w:rPr>
          <w:rFonts w:ascii="Calibri" w:hAnsi="Calibri" w:cs="Calibri"/>
        </w:rPr>
        <w:t>3</w:t>
      </w:r>
    </w:p>
    <w:p w:rsidRPr="00463320" w:rsidR="008730BE" w:rsidP="00463320" w:rsidRDefault="008730BE" w14:paraId="021088EC" w14:textId="77777777">
      <w:pPr>
        <w:pStyle w:val="Heading2"/>
      </w:pPr>
      <w:r w:rsidRPr="00463320">
        <w:t>Alignments </w:t>
      </w:r>
    </w:p>
    <w:p w:rsidRPr="00A779C5" w:rsidR="008730BE" w:rsidP="27E6F185" w:rsidRDefault="008730BE" w14:paraId="4F617251" w14:textId="77777777">
      <w:pPr>
        <w:pStyle w:val="Heading3"/>
      </w:pPr>
      <w:r w:rsidRPr="27E6F185">
        <w:t>Course Outcomes </w:t>
      </w:r>
    </w:p>
    <w:p w:rsidR="6E327F4E" w:rsidP="27E6F185" w:rsidRDefault="6E327F4E" w14:paraId="70BB52F4" w14:textId="13BA2A07">
      <w:pPr>
        <w:rPr>
          <w:rFonts w:ascii="Calibri" w:hAnsi="Calibri" w:eastAsia="Calibri" w:cs="Calibri"/>
          <w:color w:val="000000" w:themeColor="text1"/>
        </w:rPr>
      </w:pPr>
      <w:r w:rsidRPr="4B851718" w:rsidR="6E327F4E">
        <w:rPr>
          <w:rFonts w:ascii="Calibri" w:hAnsi="Calibri" w:eastAsia="Calibri" w:cs="Calibri"/>
        </w:rPr>
        <w:t>CLO III: Examine the historical and philosophical foundations of special education.</w:t>
      </w:r>
    </w:p>
    <w:p w:rsidRPr="00A779C5" w:rsidR="008730BE" w:rsidP="27E6F185" w:rsidRDefault="008730BE" w14:paraId="7BD59F55" w14:textId="77777777">
      <w:pPr>
        <w:pStyle w:val="Heading3"/>
      </w:pPr>
      <w:r w:rsidRPr="27E6F185">
        <w:t>Module Outcomes </w:t>
      </w:r>
    </w:p>
    <w:p w:rsidR="5BF75E1D" w:rsidP="27E6F185" w:rsidRDefault="5BF75E1D" w14:paraId="5B21D3B8" w14:textId="6E319BE8">
      <w:pPr>
        <w:rPr>
          <w:rFonts w:ascii="Calibri" w:hAnsi="Calibri" w:eastAsia="Calibri" w:cs="Calibri"/>
          <w:color w:val="000000" w:themeColor="text1"/>
        </w:rPr>
      </w:pPr>
      <w:r w:rsidRPr="27E6F185">
        <w:rPr>
          <w:rFonts w:ascii="Calibri" w:hAnsi="Calibri" w:eastAsia="Calibri" w:cs="Calibri"/>
        </w:rPr>
        <w:t>MLO 3.3: Describe ways that historical context and awareness of bias in special education can inform equitable practices.</w:t>
      </w:r>
    </w:p>
    <w:p w:rsidRPr="00A779C5" w:rsidR="008730BE" w:rsidP="27E6F185" w:rsidRDefault="008730BE" w14:paraId="7817D6B9" w14:textId="3E87B055">
      <w:pPr>
        <w:pStyle w:val="Heading3"/>
      </w:pPr>
      <w:r w:rsidRPr="27E6F185">
        <w:t xml:space="preserve">Specific </w:t>
      </w:r>
      <w:proofErr w:type="spellStart"/>
      <w:r w:rsidRPr="27E6F185">
        <w:t>InTASC</w:t>
      </w:r>
      <w:proofErr w:type="spellEnd"/>
      <w:r w:rsidRPr="27E6F185">
        <w:t xml:space="preserve"> Standards </w:t>
      </w:r>
    </w:p>
    <w:tbl>
      <w:tblPr>
        <w:tblW w:w="9319" w:type="dxa"/>
        <w:tblLook w:val="04A0" w:firstRow="1" w:lastRow="0" w:firstColumn="1" w:lastColumn="0" w:noHBand="0" w:noVBand="1"/>
      </w:tblPr>
      <w:tblGrid>
        <w:gridCol w:w="1282"/>
        <w:gridCol w:w="1282"/>
        <w:gridCol w:w="6755"/>
      </w:tblGrid>
      <w:tr w:rsidR="4B851718" w:rsidTr="4B851718" w14:paraId="6E1A6EA5">
        <w:trPr>
          <w:trHeight w:val="825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4B851718" w:rsidP="4B851718" w:rsidRDefault="4B851718" w14:paraId="03C06A2D" w14:textId="1CDB8D53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B851718" w:rsidR="4B8517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InTASC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4B851718" w:rsidP="4B851718" w:rsidRDefault="4B851718" w14:paraId="505FC74E" w14:textId="4A00C7C4">
            <w:pPr>
              <w:spacing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B851718" w:rsidR="4B8517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Type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4B851718" w:rsidP="4B851718" w:rsidRDefault="4B851718" w14:paraId="4972BEAB" w14:textId="3630FD09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B851718" w:rsidR="4B8517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Specific Standard</w:t>
            </w:r>
          </w:p>
        </w:tc>
      </w:tr>
      <w:tr w:rsidRPr="001C4A11" w:rsidR="001C4A11" w:rsidTr="4B851718" w14:paraId="73925FAA" w14:textId="77777777">
        <w:trPr>
          <w:trHeight w:val="825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5D475126" w:rsidP="27E6F185" w:rsidRDefault="42CD82AD" w14:paraId="0ADF5FE3" w14:textId="48466F9A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7E6F185">
              <w:rPr>
                <w:rFonts w:ascii="Calibri" w:hAnsi="Calibri" w:eastAsia="Calibri" w:cs="Calibri"/>
              </w:rPr>
              <w:t>10l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5D475126" w:rsidP="27E6F185" w:rsidRDefault="42CD82AD" w14:paraId="4D7D19C6" w14:textId="4EC7087D">
            <w:pPr>
              <w:spacing w:line="24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7E6F185">
              <w:rPr>
                <w:rFonts w:ascii="Calibri" w:hAnsi="Calibri" w:eastAsia="Calibri" w:cs="Calibri"/>
              </w:rPr>
              <w:t>Knowledge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5D475126" w:rsidP="27E6F185" w:rsidRDefault="42CD82AD" w14:paraId="7C0E8B86" w14:textId="3906E74F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</w:rPr>
            </w:pPr>
            <w:r w:rsidRPr="27E6F185">
              <w:rPr>
                <w:rFonts w:ascii="Calibri" w:hAnsi="Calibri" w:eastAsia="Calibri" w:cs="Calibri"/>
              </w:rPr>
              <w:t>The teacher understands schools as organizations within a historical, cultural, political, and social context and knows how to work with others across the system to support learners.</w:t>
            </w:r>
          </w:p>
        </w:tc>
      </w:tr>
    </w:tbl>
    <w:p w:rsidRPr="00640EA3" w:rsidR="00640EA3" w:rsidP="27E6F185" w:rsidRDefault="00640EA3" w14:paraId="2E3F758A" w14:textId="77777777">
      <w:pPr>
        <w:pStyle w:val="Heading2"/>
      </w:pPr>
      <w:r w:rsidRPr="27E6F185">
        <w:t>Assignment Instructions </w:t>
      </w:r>
    </w:p>
    <w:p w:rsidR="00640EA3" w:rsidP="27E6F185" w:rsidRDefault="00640EA3" w14:paraId="538D060C" w14:textId="6F17DC18">
      <w:pPr>
        <w:pStyle w:val="Heading3"/>
      </w:pPr>
      <w:r w:rsidRPr="27E6F185">
        <w:t>Purpose</w:t>
      </w:r>
    </w:p>
    <w:p w:rsidR="5A209B3F" w:rsidP="27E6F185" w:rsidRDefault="5A209B3F" w14:paraId="66B5E4C7" w14:textId="43ECEA10">
      <w:r w:rsidRPr="27E6F185">
        <w:t xml:space="preserve">As Module 3 demonstrates, laws related to disability seem to come in patterns. For instance, laws in the 1970s related to disability seemed to focus more on </w:t>
      </w:r>
      <w:r w:rsidRPr="27E6F185" w:rsidR="70483CDC">
        <w:t>the civil rights of people with disabilities more than the laws of other eras because civil rights were of concern and of interest to people during this time.</w:t>
      </w:r>
    </w:p>
    <w:p w:rsidR="70483CDC" w:rsidP="27E6F185" w:rsidRDefault="70483CDC" w14:paraId="49FFF8D7" w14:textId="2C4DD192">
      <w:r w:rsidRPr="27E6F185">
        <w:t>For this activity, you will build on the "Guess the Dec</w:t>
      </w:r>
      <w:r w:rsidRPr="27E6F185" w:rsidR="73746B81">
        <w:t xml:space="preserve">ade” practice activity that was introduced in Module 3, chapter 2. In addition to guessing the decade, you will find 2-3 other cases from that decade that seem to demonstrate a similar understanding. </w:t>
      </w:r>
      <w:r w:rsidRPr="27E6F185">
        <w:t xml:space="preserve"> </w:t>
      </w:r>
    </w:p>
    <w:p w:rsidR="7398E66C" w:rsidP="27E6F185" w:rsidRDefault="7398E66C" w14:paraId="6DF305AB" w14:textId="1CDF8AC3">
      <w:pPr>
        <w:pStyle w:val="Heading3"/>
      </w:pPr>
      <w:r w:rsidRPr="27E6F185">
        <w:t>Task</w:t>
      </w:r>
    </w:p>
    <w:p w:rsidRPr="00DD7AA1" w:rsidR="0DC74B7B" w:rsidP="4B851718" w:rsidRDefault="0DC74B7B" w14:paraId="74879862" w14:textId="551B0EBD" w14:noSpellErr="1">
      <w:pPr>
        <w:pStyle w:val="Heading4"/>
        <w:rPr>
          <w:color w:val="auto"/>
        </w:rPr>
      </w:pPr>
      <w:r w:rsidR="0DC74B7B">
        <w:rPr/>
        <w:t>Instructor Preparation</w:t>
      </w:r>
      <w:r w:rsidR="6D9DF035">
        <w:rPr/>
        <w:t xml:space="preserve"> for Activity</w:t>
      </w:r>
    </w:p>
    <w:p w:rsidR="0DC74B7B" w:rsidP="27E6F185" w:rsidRDefault="0DC74B7B" w14:paraId="3DF18C97" w14:textId="4736E1FB">
      <w:pPr>
        <w:pStyle w:val="ListParagraph"/>
        <w:numPr>
          <w:ilvl w:val="0"/>
          <w:numId w:val="2"/>
        </w:numPr>
      </w:pPr>
      <w:r w:rsidRPr="27E6F185">
        <w:t xml:space="preserve">Locate several </w:t>
      </w:r>
      <w:r w:rsidRPr="27E6F185" w:rsidR="321950B3">
        <w:t xml:space="preserve">legal cases throughout the years focused on disability law. </w:t>
      </w:r>
    </w:p>
    <w:p w:rsidR="321950B3" w:rsidP="27E6F185" w:rsidRDefault="321950B3" w14:paraId="1A773238" w14:textId="70B66756">
      <w:pPr>
        <w:pStyle w:val="ListParagraph"/>
        <w:numPr>
          <w:ilvl w:val="0"/>
          <w:numId w:val="2"/>
        </w:numPr>
      </w:pPr>
      <w:r w:rsidRPr="27E6F185">
        <w:t xml:space="preserve">Split students into two groups so they can work together as a team to identify relevant cases. </w:t>
      </w:r>
    </w:p>
    <w:p w:rsidR="321950B3" w:rsidP="27E6F185" w:rsidRDefault="321950B3" w14:paraId="25430E38" w14:textId="50F3B540">
      <w:pPr>
        <w:pStyle w:val="ListParagraph"/>
        <w:numPr>
          <w:ilvl w:val="0"/>
          <w:numId w:val="2"/>
        </w:numPr>
      </w:pPr>
      <w:r w:rsidRPr="27E6F185">
        <w:t xml:space="preserve">Bring rewards for students (candy, office supplies, etc.) to incentivize the gamification of this activity. </w:t>
      </w:r>
    </w:p>
    <w:p w:rsidRPr="00DD7AA1" w:rsidR="59FB5E6F" w:rsidP="5D415071" w:rsidRDefault="443DA6DF" w14:paraId="63DDDFDE" w14:textId="0AEDFE79">
      <w:pPr>
        <w:pStyle w:val="ListParagraph"/>
        <w:numPr>
          <w:ilvl w:val="0"/>
          <w:numId w:val="2"/>
        </w:numPr>
      </w:pPr>
      <w:r w:rsidRPr="5D415071">
        <w:t xml:space="preserve">Bring scrap paper for students to write down what they learned at the end of class (exit ticket). </w:t>
      </w:r>
    </w:p>
    <w:p w:rsidRPr="00DD7AA1" w:rsidR="59FB5E6F" w:rsidP="00D17B48" w:rsidRDefault="0DC74B7B" w14:paraId="4DD1D7AC" w14:textId="6E3A4A90">
      <w:pPr>
        <w:pStyle w:val="Heading4"/>
      </w:pPr>
      <w:r w:rsidR="0DC74B7B">
        <w:rPr/>
        <w:t>Student Directions</w:t>
      </w:r>
    </w:p>
    <w:p w:rsidR="65D2D977" w:rsidP="27E6F185" w:rsidRDefault="65D2D977" w14:paraId="19B8BF00" w14:textId="29FB4660">
      <w:r w:rsidRPr="255390D3">
        <w:t>For this activity, you</w:t>
      </w:r>
      <w:r w:rsidRPr="255390D3" w:rsidR="70BE35E4">
        <w:t xml:space="preserve">r class will be split into two </w:t>
      </w:r>
      <w:r w:rsidRPr="255390D3" w:rsidR="0C016F23">
        <w:t>groups,</w:t>
      </w:r>
      <w:r w:rsidRPr="255390D3" w:rsidR="70BE35E4">
        <w:t xml:space="preserve"> and you will be an active participant on one of the teams. </w:t>
      </w:r>
    </w:p>
    <w:p w:rsidR="70BE35E4" w:rsidP="27E6F185" w:rsidRDefault="70BE35E4" w14:paraId="5C7284C7" w14:textId="4C1A8B47">
      <w:pPr>
        <w:pStyle w:val="ListParagraph"/>
        <w:numPr>
          <w:ilvl w:val="0"/>
          <w:numId w:val="3"/>
        </w:numPr>
      </w:pPr>
      <w:r w:rsidRPr="27E6F185">
        <w:t xml:space="preserve">Your teacher will read you the scenarios presented in the “Guess the Decade” practice activity from Module 3, chapter 2. </w:t>
      </w:r>
    </w:p>
    <w:p w:rsidR="70BE35E4" w:rsidP="27E6F185" w:rsidRDefault="70BE35E4" w14:paraId="2BBA90E7" w14:textId="555F7DFE">
      <w:pPr>
        <w:pStyle w:val="ListParagraph"/>
        <w:numPr>
          <w:ilvl w:val="0"/>
          <w:numId w:val="3"/>
        </w:numPr>
      </w:pPr>
      <w:r w:rsidRPr="15AF5B18">
        <w:t xml:space="preserve">The teams will </w:t>
      </w:r>
      <w:r w:rsidRPr="15AF5B18" w:rsidR="5EBAA923">
        <w:t xml:space="preserve">take turns </w:t>
      </w:r>
      <w:r w:rsidRPr="15AF5B18">
        <w:t>guess</w:t>
      </w:r>
      <w:r w:rsidRPr="15AF5B18" w:rsidR="68241342">
        <w:t>ing</w:t>
      </w:r>
      <w:r w:rsidRPr="15AF5B18">
        <w:t xml:space="preserve"> which decade this event occurred in based on the multiple-choice answers. The team who guesses correctly will receive one point. </w:t>
      </w:r>
    </w:p>
    <w:p w:rsidR="70BE35E4" w:rsidP="27E6F185" w:rsidRDefault="70BE35E4" w14:paraId="606D9A24" w14:textId="0FBF627C">
      <w:pPr>
        <w:pStyle w:val="ListParagraph"/>
        <w:numPr>
          <w:ilvl w:val="0"/>
          <w:numId w:val="3"/>
        </w:numPr>
      </w:pPr>
      <w:r w:rsidRPr="27E6F185">
        <w:lastRenderedPageBreak/>
        <w:t xml:space="preserve">After the correct decade has been selected, both teams will search to find cases from the same decade that are topically related. </w:t>
      </w:r>
      <w:r w:rsidRPr="27E6F185" w:rsidR="7A50FAED">
        <w:t>The goal is for three related cases to be identified, though both teams can participate. Each team will be given one point for each correct case pr</w:t>
      </w:r>
      <w:r w:rsidRPr="27E6F185" w:rsidR="794FC707">
        <w:t xml:space="preserve">esented. </w:t>
      </w:r>
    </w:p>
    <w:p w:rsidR="794FC707" w:rsidP="27E6F185" w:rsidRDefault="794FC707" w14:paraId="1EC0ECDB" w14:textId="20ABE67A">
      <w:pPr>
        <w:pStyle w:val="ListParagraph"/>
        <w:numPr>
          <w:ilvl w:val="0"/>
          <w:numId w:val="3"/>
        </w:numPr>
      </w:pPr>
      <w:r w:rsidRPr="27E6F185">
        <w:t xml:space="preserve">Before you leave the classroom, write down on a sheet of paper two things you learned today and give it to your instructor when you leave. </w:t>
      </w:r>
    </w:p>
    <w:p w:rsidR="00640EA3" w:rsidP="00D17B48" w:rsidRDefault="06EA1718" w14:paraId="1594729C" w14:textId="2A281AB5">
      <w:pPr>
        <w:pStyle w:val="Heading4"/>
      </w:pPr>
      <w:r w:rsidR="06EA1718">
        <w:rPr/>
        <w:t>Successful Participation Includes the Following Elements</w:t>
      </w:r>
    </w:p>
    <w:p w:rsidR="2015C3F2" w:rsidP="15AF5B18" w:rsidRDefault="2015C3F2" w14:paraId="2173772E" w14:textId="1ACC81B6">
      <w:pPr>
        <w:pStyle w:val="ListParagraph"/>
        <w:numPr>
          <w:ilvl w:val="0"/>
          <w:numId w:val="1"/>
        </w:numPr>
      </w:pPr>
      <w:r>
        <w:t xml:space="preserve">Remaining cordial throughout the activity, which includes </w:t>
      </w:r>
      <w:r w:rsidR="65213F87">
        <w:t>not talking over the other team.</w:t>
      </w:r>
    </w:p>
    <w:p w:rsidR="65213F87" w:rsidP="15AF5B18" w:rsidRDefault="65213F87" w14:paraId="6A67188A" w14:textId="3622C36B">
      <w:pPr>
        <w:pStyle w:val="ListParagraph"/>
        <w:numPr>
          <w:ilvl w:val="0"/>
          <w:numId w:val="1"/>
        </w:numPr>
      </w:pPr>
      <w:r>
        <w:t>Sharing your answers with your team and classmates.</w:t>
      </w:r>
    </w:p>
    <w:p w:rsidR="4004932F" w:rsidP="15AF5B18" w:rsidRDefault="4004932F" w14:paraId="039E1F5B" w14:textId="7C634F1D">
      <w:pPr>
        <w:pStyle w:val="ListParagraph"/>
        <w:numPr>
          <w:ilvl w:val="0"/>
          <w:numId w:val="1"/>
        </w:numPr>
      </w:pPr>
      <w:r>
        <w:t>Staying engaged throughout the activity.</w:t>
      </w:r>
    </w:p>
    <w:sectPr w:rsidR="4004932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9EFC"/>
    <w:multiLevelType w:val="hybridMultilevel"/>
    <w:tmpl w:val="5AACCE46"/>
    <w:lvl w:ilvl="0" w:tplc="E59070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38DF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58D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AD0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8458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E8DD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728F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A0A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C6D5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B1A832D"/>
    <w:multiLevelType w:val="hybridMultilevel"/>
    <w:tmpl w:val="CCE04A82"/>
    <w:lvl w:ilvl="0" w:tplc="E68C40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CEAB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E2D8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1C52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A67E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4607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8841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721D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F417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1FB81F"/>
    <w:multiLevelType w:val="hybridMultilevel"/>
    <w:tmpl w:val="D690F7FC"/>
    <w:lvl w:ilvl="0" w:tplc="454AA494">
      <w:start w:val="1"/>
      <w:numFmt w:val="decimal"/>
      <w:lvlText w:val="%1."/>
      <w:lvlJc w:val="left"/>
      <w:pPr>
        <w:ind w:left="720" w:hanging="360"/>
      </w:pPr>
    </w:lvl>
    <w:lvl w:ilvl="1" w:tplc="4094C148">
      <w:start w:val="1"/>
      <w:numFmt w:val="lowerLetter"/>
      <w:lvlText w:val="%2."/>
      <w:lvlJc w:val="left"/>
      <w:pPr>
        <w:ind w:left="1440" w:hanging="360"/>
      </w:pPr>
    </w:lvl>
    <w:lvl w:ilvl="2" w:tplc="7C3474E8">
      <w:start w:val="1"/>
      <w:numFmt w:val="lowerRoman"/>
      <w:lvlText w:val="%3."/>
      <w:lvlJc w:val="right"/>
      <w:pPr>
        <w:ind w:left="2160" w:hanging="180"/>
      </w:pPr>
    </w:lvl>
    <w:lvl w:ilvl="3" w:tplc="75001334">
      <w:start w:val="1"/>
      <w:numFmt w:val="decimal"/>
      <w:lvlText w:val="%4."/>
      <w:lvlJc w:val="left"/>
      <w:pPr>
        <w:ind w:left="2880" w:hanging="360"/>
      </w:pPr>
    </w:lvl>
    <w:lvl w:ilvl="4" w:tplc="38FEDA5A">
      <w:start w:val="1"/>
      <w:numFmt w:val="lowerLetter"/>
      <w:lvlText w:val="%5."/>
      <w:lvlJc w:val="left"/>
      <w:pPr>
        <w:ind w:left="3600" w:hanging="360"/>
      </w:pPr>
    </w:lvl>
    <w:lvl w:ilvl="5" w:tplc="5956BCFC">
      <w:start w:val="1"/>
      <w:numFmt w:val="lowerRoman"/>
      <w:lvlText w:val="%6."/>
      <w:lvlJc w:val="right"/>
      <w:pPr>
        <w:ind w:left="4320" w:hanging="180"/>
      </w:pPr>
    </w:lvl>
    <w:lvl w:ilvl="6" w:tplc="A9280D20">
      <w:start w:val="1"/>
      <w:numFmt w:val="decimal"/>
      <w:lvlText w:val="%7."/>
      <w:lvlJc w:val="left"/>
      <w:pPr>
        <w:ind w:left="5040" w:hanging="360"/>
      </w:pPr>
    </w:lvl>
    <w:lvl w:ilvl="7" w:tplc="EB9ED246">
      <w:start w:val="1"/>
      <w:numFmt w:val="lowerLetter"/>
      <w:lvlText w:val="%8."/>
      <w:lvlJc w:val="left"/>
      <w:pPr>
        <w:ind w:left="5760" w:hanging="360"/>
      </w:pPr>
    </w:lvl>
    <w:lvl w:ilvl="8" w:tplc="6EAC4524">
      <w:start w:val="1"/>
      <w:numFmt w:val="lowerRoman"/>
      <w:lvlText w:val="%9."/>
      <w:lvlJc w:val="right"/>
      <w:pPr>
        <w:ind w:left="6480" w:hanging="180"/>
      </w:pPr>
    </w:lvl>
  </w:abstractNum>
  <w:num w:numId="1" w16cid:durableId="639698785">
    <w:abstractNumId w:val="1"/>
  </w:num>
  <w:num w:numId="2" w16cid:durableId="17322222">
    <w:abstractNumId w:val="0"/>
  </w:num>
  <w:num w:numId="3" w16cid:durableId="70224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EBCEA"/>
    <w:rsid w:val="00176984"/>
    <w:rsid w:val="001A6921"/>
    <w:rsid w:val="001C4A11"/>
    <w:rsid w:val="002C633D"/>
    <w:rsid w:val="0045663C"/>
    <w:rsid w:val="00463320"/>
    <w:rsid w:val="004A45B7"/>
    <w:rsid w:val="0055585C"/>
    <w:rsid w:val="00612ECA"/>
    <w:rsid w:val="00640EA3"/>
    <w:rsid w:val="00743C94"/>
    <w:rsid w:val="00830B7C"/>
    <w:rsid w:val="008310D0"/>
    <w:rsid w:val="00862893"/>
    <w:rsid w:val="008730BE"/>
    <w:rsid w:val="009A1CE7"/>
    <w:rsid w:val="00A448E8"/>
    <w:rsid w:val="00A548C6"/>
    <w:rsid w:val="00A779C5"/>
    <w:rsid w:val="00A9445A"/>
    <w:rsid w:val="00B12773"/>
    <w:rsid w:val="00B96F37"/>
    <w:rsid w:val="00BE2848"/>
    <w:rsid w:val="00C3683E"/>
    <w:rsid w:val="00C56D77"/>
    <w:rsid w:val="00D17B48"/>
    <w:rsid w:val="00D26631"/>
    <w:rsid w:val="00DD7AA1"/>
    <w:rsid w:val="00E2737D"/>
    <w:rsid w:val="00EA0327"/>
    <w:rsid w:val="00EA7BE9"/>
    <w:rsid w:val="00F0040D"/>
    <w:rsid w:val="00F26688"/>
    <w:rsid w:val="017B7948"/>
    <w:rsid w:val="01849E16"/>
    <w:rsid w:val="02CE7869"/>
    <w:rsid w:val="04BC3ED8"/>
    <w:rsid w:val="06E00F5B"/>
    <w:rsid w:val="06E7FCE1"/>
    <w:rsid w:val="06EA1718"/>
    <w:rsid w:val="0A1F9DA3"/>
    <w:rsid w:val="0BE41495"/>
    <w:rsid w:val="0C016F23"/>
    <w:rsid w:val="0DC74B7B"/>
    <w:rsid w:val="0E87F6EC"/>
    <w:rsid w:val="0FBAE879"/>
    <w:rsid w:val="11BF97AE"/>
    <w:rsid w:val="12D7C212"/>
    <w:rsid w:val="15AF5B18"/>
    <w:rsid w:val="166439B0"/>
    <w:rsid w:val="17471ED2"/>
    <w:rsid w:val="17ABFC83"/>
    <w:rsid w:val="19470396"/>
    <w:rsid w:val="197E7D59"/>
    <w:rsid w:val="19D12D82"/>
    <w:rsid w:val="1CA43EDE"/>
    <w:rsid w:val="1D6D622F"/>
    <w:rsid w:val="1E400F3F"/>
    <w:rsid w:val="1F01E970"/>
    <w:rsid w:val="1F55AC8A"/>
    <w:rsid w:val="2003DA72"/>
    <w:rsid w:val="2015C3F2"/>
    <w:rsid w:val="216FEAB4"/>
    <w:rsid w:val="22121C96"/>
    <w:rsid w:val="2240D352"/>
    <w:rsid w:val="22B0560E"/>
    <w:rsid w:val="2347BF4D"/>
    <w:rsid w:val="255390D3"/>
    <w:rsid w:val="270B248A"/>
    <w:rsid w:val="27E6F185"/>
    <w:rsid w:val="28824593"/>
    <w:rsid w:val="288DBD29"/>
    <w:rsid w:val="2CA927D1"/>
    <w:rsid w:val="2DC7F25E"/>
    <w:rsid w:val="2E394F57"/>
    <w:rsid w:val="2E56D76F"/>
    <w:rsid w:val="2F0B3319"/>
    <w:rsid w:val="31049C61"/>
    <w:rsid w:val="310DC12F"/>
    <w:rsid w:val="31D98950"/>
    <w:rsid w:val="321950B3"/>
    <w:rsid w:val="32B0AE5C"/>
    <w:rsid w:val="32D11AA0"/>
    <w:rsid w:val="3682E811"/>
    <w:rsid w:val="3711E448"/>
    <w:rsid w:val="38ADB4A9"/>
    <w:rsid w:val="390FB8DE"/>
    <w:rsid w:val="39A0D336"/>
    <w:rsid w:val="3C1DC9F2"/>
    <w:rsid w:val="3E3FFF20"/>
    <w:rsid w:val="3F1C58CD"/>
    <w:rsid w:val="4004932F"/>
    <w:rsid w:val="40F634BD"/>
    <w:rsid w:val="412EBCEA"/>
    <w:rsid w:val="42CD82AD"/>
    <w:rsid w:val="44221ABC"/>
    <w:rsid w:val="443DA6DF"/>
    <w:rsid w:val="48CE715A"/>
    <w:rsid w:val="4B851718"/>
    <w:rsid w:val="4E5FCDAA"/>
    <w:rsid w:val="4E630518"/>
    <w:rsid w:val="4FCFCA3A"/>
    <w:rsid w:val="4FD63ACA"/>
    <w:rsid w:val="52397927"/>
    <w:rsid w:val="544D8680"/>
    <w:rsid w:val="57661470"/>
    <w:rsid w:val="586ABC80"/>
    <w:rsid w:val="59FB5E6F"/>
    <w:rsid w:val="5A209B3F"/>
    <w:rsid w:val="5BF75E1D"/>
    <w:rsid w:val="5D415071"/>
    <w:rsid w:val="5D475126"/>
    <w:rsid w:val="5E945632"/>
    <w:rsid w:val="5EBAA923"/>
    <w:rsid w:val="5EFED3D2"/>
    <w:rsid w:val="61CBF6F4"/>
    <w:rsid w:val="622F65C4"/>
    <w:rsid w:val="6245823D"/>
    <w:rsid w:val="634E9EF8"/>
    <w:rsid w:val="65213F87"/>
    <w:rsid w:val="65D1E410"/>
    <w:rsid w:val="65D2D977"/>
    <w:rsid w:val="66863FBA"/>
    <w:rsid w:val="673759D1"/>
    <w:rsid w:val="6774FD91"/>
    <w:rsid w:val="67D8D2DC"/>
    <w:rsid w:val="68241342"/>
    <w:rsid w:val="6836D7C2"/>
    <w:rsid w:val="6910CDF2"/>
    <w:rsid w:val="6B6E7884"/>
    <w:rsid w:val="6C3F3F64"/>
    <w:rsid w:val="6D9DF035"/>
    <w:rsid w:val="6DC3B6A4"/>
    <w:rsid w:val="6DDB0FC5"/>
    <w:rsid w:val="6E327F4E"/>
    <w:rsid w:val="700C1770"/>
    <w:rsid w:val="70483CDC"/>
    <w:rsid w:val="70BE35E4"/>
    <w:rsid w:val="711BDFD7"/>
    <w:rsid w:val="72536AC9"/>
    <w:rsid w:val="73746B81"/>
    <w:rsid w:val="7398E66C"/>
    <w:rsid w:val="73DE5125"/>
    <w:rsid w:val="76BE42B5"/>
    <w:rsid w:val="7865BBF1"/>
    <w:rsid w:val="794FC707"/>
    <w:rsid w:val="7A018C52"/>
    <w:rsid w:val="7A50FAED"/>
    <w:rsid w:val="7B9D5CB3"/>
    <w:rsid w:val="7C3C3AD1"/>
    <w:rsid w:val="7D790455"/>
    <w:rsid w:val="7E0C8B54"/>
    <w:rsid w:val="7ED4F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CEA"/>
  <w15:chartTrackingRefBased/>
  <w15:docId w15:val="{3658F929-FEE0-457F-B92C-ED85B3A7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463320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320"/>
    <w:pPr>
      <w:spacing w:after="0" w:line="240" w:lineRule="auto"/>
      <w:textAlignment w:val="baseline"/>
      <w:outlineLvl w:val="1"/>
    </w:pPr>
    <w:rPr>
      <w:rFonts w:ascii="Calibri" w:hAnsi="Calibri" w:eastAsia="Times New Roman" w:cs="Calibr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320"/>
    <w:pPr>
      <w:spacing w:after="0" w:line="240" w:lineRule="auto"/>
      <w:textAlignment w:val="baseline"/>
      <w:outlineLvl w:val="2"/>
    </w:pPr>
    <w:rPr>
      <w:rFonts w:ascii="Calibri" w:hAnsi="Calibri" w:eastAsia="Times New Roman" w:cs="Calibri"/>
      <w:i/>
      <w:iCs/>
      <w:sz w:val="24"/>
      <w:szCs w:val="24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B851718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auto"/>
    </w:rPr>
    <w:pPr>
      <w:keepNext w:val="1"/>
      <w:keepLines w:val="1"/>
      <w:spacing w:before="40" w:after="0"/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8310D0"/>
    <w:rPr>
      <w:rFonts w:ascii="Calibri" w:hAnsi="Calibri" w:eastAsia="Times New Roman" w:cs="Calibri"/>
      <w:b/>
      <w:bCs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46332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3Char" w:customStyle="1">
    <w:name w:val="Heading 3 Char"/>
    <w:basedOn w:val="DefaultParagraphFont"/>
    <w:link w:val="Heading3"/>
    <w:uiPriority w:val="9"/>
    <w:rsid w:val="00A779C5"/>
    <w:rPr>
      <w:rFonts w:ascii="Calibri" w:hAnsi="Calibri" w:eastAsia="Times New Roman" w:cs="Calib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A6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921"/>
    <w:rPr>
      <w:color w:val="605E5C"/>
      <w:shd w:val="clear" w:color="auto" w:fill="E1DFDD"/>
    </w:rPr>
  </w:style>
  <w:style w:type="character" w:styleId="Heading4Char" w:customStyle="true">
    <w:uiPriority w:val="9"/>
    <w:name w:val="Heading 4 Char"/>
    <w:basedOn w:val="DefaultParagraphFont"/>
    <w:link w:val="Heading4"/>
    <w:rsid w:val="4B851718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b1ed4-2e04-4c47-9b75-2a2edcf738e0" xsi:nil="true"/>
    <lcf76f155ced4ddcb4097134ff3c332f xmlns="c7d1901c-c137-4ed4-babd-38ad35a1aece">
      <Terms xmlns="http://schemas.microsoft.com/office/infopath/2007/PartnerControls"/>
    </lcf76f155ced4ddcb4097134ff3c332f>
    <Comments xmlns="c7d1901c-c137-4ed4-babd-38ad35a1ae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EA970080C57489DC101EFB051156F" ma:contentTypeVersion="18" ma:contentTypeDescription="Create a new document." ma:contentTypeScope="" ma:versionID="8e2f3d36beb331f7e0de55e1b801ed4c">
  <xsd:schema xmlns:xsd="http://www.w3.org/2001/XMLSchema" xmlns:xs="http://www.w3.org/2001/XMLSchema" xmlns:p="http://schemas.microsoft.com/office/2006/metadata/properties" xmlns:ns2="c7d1901c-c137-4ed4-babd-38ad35a1aece" xmlns:ns3="badb1ed4-2e04-4c47-9b75-2a2edcf738e0" targetNamespace="http://schemas.microsoft.com/office/2006/metadata/properties" ma:root="true" ma:fieldsID="9561d551b6417d3842b9286e7b1937b2" ns2:_="" ns3:_="">
    <xsd:import namespace="c7d1901c-c137-4ed4-babd-38ad35a1aece"/>
    <xsd:import namespace="badb1ed4-2e04-4c47-9b75-2a2edcf73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901c-c137-4ed4-babd-38ad35a1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Comments related to this folder's item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1ed4-2e04-4c47-9b75-2a2edcf73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a34cf-4ff5-4264-81a4-ba1d3603e73f}" ma:internalName="TaxCatchAll" ma:showField="CatchAllData" ma:web="badb1ed4-2e04-4c47-9b75-2a2edcf73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F2AD0-1C09-45F9-83BE-4927805DC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025B0-0E0A-4E52-9553-5FCA2D659086}">
  <ds:schemaRefs>
    <ds:schemaRef ds:uri="http://schemas.microsoft.com/office/2006/metadata/properties"/>
    <ds:schemaRef ds:uri="http://schemas.microsoft.com/office/infopath/2007/PartnerControls"/>
    <ds:schemaRef ds:uri="badb1ed4-2e04-4c47-9b75-2a2edcf738e0"/>
    <ds:schemaRef ds:uri="c7d1901c-c137-4ed4-babd-38ad35a1aece"/>
  </ds:schemaRefs>
</ds:datastoreItem>
</file>

<file path=customXml/itemProps3.xml><?xml version="1.0" encoding="utf-8"?>
<ds:datastoreItem xmlns:ds="http://schemas.openxmlformats.org/officeDocument/2006/customXml" ds:itemID="{5DA0F61B-585C-4526-948D-7696F7E39D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Williams, Melissa D</dc:creator>
  <keywords/>
  <dc:description/>
  <lastModifiedBy>Kennedy, Fran K</lastModifiedBy>
  <revision>14</revision>
  <dcterms:created xsi:type="dcterms:W3CDTF">2024-01-17T21:10:00.0000000Z</dcterms:created>
  <dcterms:modified xsi:type="dcterms:W3CDTF">2024-03-06T15:11:48.2416637Z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0x01010002EEA970080C57489DC101EFB051156F</vt:lpwstr>
  </property>
  <property fmtid="{D5CDD505-2E9C-101B-9397-08002B2CF9AE}" pid="3" name="MediaServiceImageTags">
    <vt:lpwstr/>
  </property>
</Properties>
</file>