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8725B4B" w:rsidP="65A9E752" w:rsidRDefault="38725B4B" w14:paraId="37455F93" w14:textId="53D4CCE7">
      <w:pPr>
        <w:pStyle w:val="Title"/>
        <w:jc w:val="center"/>
        <w:rPr>
          <w:rFonts w:ascii="Calibri Light" w:hAnsi="Calibri Light" w:eastAsia="Calibri Light" w:cs="Calibri Light"/>
          <w:color w:val="000000" w:themeColor="text1"/>
        </w:rPr>
      </w:pPr>
      <w:r w:rsidRPr="65A9E752">
        <w:rPr>
          <w:rFonts w:ascii="Calibri Light" w:hAnsi="Calibri Light" w:eastAsia="Calibri Light" w:cs="Calibri Light"/>
        </w:rPr>
        <w:t>M</w:t>
      </w:r>
      <w:r w:rsidRPr="65A9E752" w:rsidR="3DC68905">
        <w:rPr>
          <w:rFonts w:ascii="Calibri Light" w:hAnsi="Calibri Light" w:eastAsia="Calibri Light" w:cs="Calibri Light"/>
        </w:rPr>
        <w:t>3: What’s Wrong with This Picture</w:t>
      </w:r>
    </w:p>
    <w:p w:rsidR="35E70B0D" w:rsidP="65A9E752" w:rsidRDefault="35E70B0D" w14:paraId="4165653E" w14:textId="1D6A4B14"/>
    <w:p w:rsidR="430675A6" w:rsidP="65A9E752" w:rsidRDefault="430675A6" w14:paraId="74CFD938" w14:textId="22EB133D">
      <w:pPr>
        <w:pStyle w:val="Heading2"/>
        <w:rPr>
          <w:rFonts w:ascii="Calibri" w:hAnsi="Calibri" w:eastAsia="Calibri" w:cs="Calibri"/>
          <w:color w:val="000000" w:themeColor="text1"/>
        </w:rPr>
      </w:pPr>
      <w:r w:rsidRPr="65A9E752">
        <w:rPr>
          <w:rFonts w:ascii="Calibri" w:hAnsi="Calibri" w:eastAsia="Calibri" w:cs="Calibri"/>
        </w:rPr>
        <w:t>Course</w:t>
      </w:r>
    </w:p>
    <w:p w:rsidR="430675A6" w:rsidP="65A9E752" w:rsidRDefault="430675A6" w14:paraId="7BC5F000" w14:textId="5015D568">
      <w:pPr>
        <w:rPr>
          <w:rFonts w:ascii="Calibri" w:hAnsi="Calibri" w:eastAsia="Calibri" w:cs="Calibri"/>
          <w:color w:val="000000" w:themeColor="text1"/>
        </w:rPr>
      </w:pPr>
      <w:r w:rsidRPr="65A9E752">
        <w:rPr>
          <w:rFonts w:ascii="Calibri" w:hAnsi="Calibri" w:eastAsia="Calibri" w:cs="Calibri"/>
        </w:rPr>
        <w:t>Special Education</w:t>
      </w:r>
    </w:p>
    <w:p w:rsidR="430675A6" w:rsidP="65A9E752" w:rsidRDefault="430675A6" w14:paraId="2528322D" w14:textId="0FD91306">
      <w:pPr>
        <w:pStyle w:val="Heading2"/>
        <w:rPr>
          <w:rFonts w:ascii="Calibri" w:hAnsi="Calibri" w:eastAsia="Calibri" w:cs="Calibri"/>
          <w:color w:val="000000" w:themeColor="text1"/>
        </w:rPr>
      </w:pPr>
      <w:r w:rsidRPr="65A9E752">
        <w:rPr>
          <w:rFonts w:ascii="Calibri" w:hAnsi="Calibri" w:eastAsia="Calibri" w:cs="Calibri"/>
        </w:rPr>
        <w:t>Location</w:t>
      </w:r>
    </w:p>
    <w:p w:rsidR="430675A6" w:rsidP="65A9E752" w:rsidRDefault="430675A6" w14:paraId="2C0524D1" w14:textId="46743AD6">
      <w:pPr>
        <w:rPr>
          <w:rFonts w:ascii="Calibri" w:hAnsi="Calibri" w:eastAsia="Calibri" w:cs="Calibri"/>
          <w:color w:val="000000" w:themeColor="text1"/>
        </w:rPr>
      </w:pPr>
      <w:r w:rsidRPr="65A9E752">
        <w:rPr>
          <w:rFonts w:ascii="Calibri" w:hAnsi="Calibri" w:eastAsia="Calibri" w:cs="Calibri"/>
        </w:rPr>
        <w:t>Module 3</w:t>
      </w:r>
    </w:p>
    <w:p w:rsidR="430675A6" w:rsidP="65A9E752" w:rsidRDefault="430675A6" w14:paraId="012E1E12" w14:textId="61563963">
      <w:pPr>
        <w:pStyle w:val="Heading2"/>
        <w:rPr>
          <w:rFonts w:ascii="Calibri" w:hAnsi="Calibri" w:eastAsia="Calibri" w:cs="Calibri"/>
          <w:color w:val="000000" w:themeColor="text1"/>
        </w:rPr>
      </w:pPr>
      <w:r w:rsidRPr="65A9E752">
        <w:rPr>
          <w:rFonts w:ascii="Calibri" w:hAnsi="Calibri" w:eastAsia="Calibri" w:cs="Calibri"/>
        </w:rPr>
        <w:t>Alignments</w:t>
      </w:r>
    </w:p>
    <w:p w:rsidR="430675A6" w:rsidP="65A9E752" w:rsidRDefault="430675A6" w14:paraId="3F1F8D99" w14:textId="2B6BF169">
      <w:pPr>
        <w:pStyle w:val="Heading3"/>
        <w:rPr>
          <w:rFonts w:ascii="Calibri" w:hAnsi="Calibri" w:eastAsia="Calibri" w:cs="Calibri"/>
          <w:color w:val="000000" w:themeColor="text1"/>
        </w:rPr>
      </w:pPr>
      <w:r w:rsidRPr="65A9E752">
        <w:rPr>
          <w:rFonts w:ascii="Calibri" w:hAnsi="Calibri" w:eastAsia="Calibri" w:cs="Calibri"/>
        </w:rPr>
        <w:t>Course Outcomes</w:t>
      </w:r>
    </w:p>
    <w:p w:rsidR="430675A6" w:rsidP="65A9E752" w:rsidRDefault="430675A6" w14:paraId="01663670" w14:textId="60D87E22">
      <w:pPr>
        <w:rPr>
          <w:rFonts w:ascii="Calibri" w:hAnsi="Calibri" w:eastAsia="Calibri" w:cs="Calibri"/>
          <w:color w:val="000000" w:themeColor="text1"/>
        </w:rPr>
      </w:pPr>
      <w:r w:rsidRPr="65A9E752">
        <w:rPr>
          <w:rFonts w:ascii="Calibri" w:hAnsi="Calibri" w:eastAsia="Calibri" w:cs="Calibri"/>
        </w:rPr>
        <w:t>CLO III: Examine the historical and philosophical foundations of special education.</w:t>
      </w:r>
    </w:p>
    <w:p w:rsidR="430675A6" w:rsidP="65A9E752" w:rsidRDefault="430675A6" w14:paraId="04AB5112" w14:textId="52E2B593">
      <w:pPr>
        <w:pStyle w:val="Heading3"/>
        <w:rPr>
          <w:rFonts w:ascii="Calibri" w:hAnsi="Calibri" w:eastAsia="Calibri" w:cs="Calibri"/>
          <w:color w:val="000000" w:themeColor="text1"/>
        </w:rPr>
      </w:pPr>
      <w:r w:rsidRPr="65A9E752">
        <w:rPr>
          <w:rFonts w:ascii="Calibri" w:hAnsi="Calibri" w:eastAsia="Calibri" w:cs="Calibri"/>
        </w:rPr>
        <w:t>Module Outcomes</w:t>
      </w:r>
    </w:p>
    <w:p w:rsidR="430675A6" w:rsidP="65A9E752" w:rsidRDefault="430675A6" w14:paraId="18D57ADF" w14:textId="28A952A7">
      <w:pPr>
        <w:rPr>
          <w:rFonts w:ascii="Calibri" w:hAnsi="Calibri" w:eastAsia="Calibri" w:cs="Calibri"/>
          <w:color w:val="000000" w:themeColor="text1"/>
        </w:rPr>
      </w:pPr>
      <w:r w:rsidRPr="65A9E752">
        <w:rPr>
          <w:rFonts w:ascii="Calibri" w:hAnsi="Calibri" w:eastAsia="Calibri" w:cs="Calibri"/>
        </w:rPr>
        <w:t>MLO 3.1: Explain how the historical and philosophical development of special education in the United States has informed current laws and practices.</w:t>
      </w:r>
    </w:p>
    <w:p w:rsidR="430675A6" w:rsidP="65A9E752" w:rsidRDefault="430675A6" w14:paraId="3F7966E0" w14:textId="502BC2D6">
      <w:pPr>
        <w:rPr>
          <w:rFonts w:ascii="Calibri" w:hAnsi="Calibri" w:eastAsia="Calibri" w:cs="Calibri"/>
          <w:color w:val="000000" w:themeColor="text1"/>
        </w:rPr>
      </w:pPr>
      <w:r w:rsidRPr="65A9E752">
        <w:rPr>
          <w:rFonts w:ascii="Calibri" w:hAnsi="Calibri" w:eastAsia="Calibri" w:cs="Calibri"/>
        </w:rPr>
        <w:t>MLO 3.3: Describe ways that historical context and awareness of bias in special education can inform equitable practices.</w:t>
      </w:r>
    </w:p>
    <w:p w:rsidR="430675A6" w:rsidP="65A9E752" w:rsidRDefault="430675A6" w14:paraId="19B51812" w14:textId="3FEC39FB">
      <w:pPr>
        <w:pStyle w:val="Heading3"/>
        <w:rPr>
          <w:rFonts w:ascii="Calibri" w:hAnsi="Calibri" w:eastAsia="Calibri" w:cs="Calibri"/>
          <w:color w:val="000000" w:themeColor="text1"/>
        </w:rPr>
      </w:pPr>
      <w:r w:rsidRPr="65A9E752">
        <w:rPr>
          <w:rFonts w:ascii="Calibri" w:hAnsi="Calibri" w:eastAsia="Calibri" w:cs="Calibri"/>
        </w:rPr>
        <w:t xml:space="preserve">Specific </w:t>
      </w:r>
      <w:proofErr w:type="spellStart"/>
      <w:r w:rsidRPr="65A9E752">
        <w:rPr>
          <w:rFonts w:ascii="Calibri" w:hAnsi="Calibri" w:eastAsia="Calibri" w:cs="Calibri"/>
        </w:rPr>
        <w:t>InTASC</w:t>
      </w:r>
      <w:proofErr w:type="spellEnd"/>
      <w:r w:rsidRPr="65A9E752">
        <w:rPr>
          <w:rFonts w:ascii="Calibri" w:hAnsi="Calibri" w:eastAsia="Calibri" w:cs="Calibri"/>
        </w:rPr>
        <w:t xml:space="preserve"> Standards</w:t>
      </w:r>
    </w:p>
    <w:tbl>
      <w:tblPr>
        <w:tblW w:w="12865" w:type="dxa"/>
        <w:tblLayout w:type="fixed"/>
        <w:tblLook w:val="06A0" w:firstRow="1" w:lastRow="0" w:firstColumn="1" w:lastColumn="0" w:noHBand="1" w:noVBand="1"/>
      </w:tblPr>
      <w:tblGrid>
        <w:gridCol w:w="1305"/>
        <w:gridCol w:w="1305"/>
        <w:gridCol w:w="10255"/>
      </w:tblGrid>
      <w:tr w:rsidR="135336AD" w:rsidTr="135336AD" w14:paraId="73A0F34C">
        <w:trPr>
          <w:trHeight w:val="765"/>
        </w:trPr>
        <w:tc>
          <w:tcPr>
            <w:tcW w:w="1305" w:type="dxa"/>
            <w:tcBorders>
              <w:top w:val="single" w:color="auto" w:sz="4" w:space="0"/>
              <w:left w:val="single" w:color="auto" w:sz="4" w:space="0"/>
              <w:bottom w:val="single" w:color="auto" w:sz="4" w:space="0"/>
              <w:right w:val="single" w:color="auto" w:sz="4" w:space="0"/>
            </w:tcBorders>
            <w:tcMar/>
            <w:vAlign w:val="center"/>
          </w:tcPr>
          <w:p w:rsidR="135336AD" w:rsidP="135336AD" w:rsidRDefault="135336AD" w14:paraId="14CE0402" w14:textId="53C09A27">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135336AD" w:rsidR="135336AD">
              <w:rPr>
                <w:rFonts w:ascii="Calibri" w:hAnsi="Calibri" w:eastAsia="Calibri" w:cs="Calibri"/>
                <w:b w:val="1"/>
                <w:bCs w:val="1"/>
                <w:i w:val="0"/>
                <w:iCs w:val="0"/>
                <w:caps w:val="0"/>
                <w:smallCaps w:val="0"/>
                <w:color w:val="000000" w:themeColor="text1" w:themeTint="FF" w:themeShade="FF"/>
                <w:sz w:val="22"/>
                <w:szCs w:val="22"/>
                <w:lang w:val="en-US"/>
              </w:rPr>
              <w:t>InTASC</w:t>
            </w:r>
          </w:p>
        </w:tc>
        <w:tc>
          <w:tcPr>
            <w:tcW w:w="1305" w:type="dxa"/>
            <w:tcBorders>
              <w:top w:val="single" w:color="auto" w:sz="4" w:space="0"/>
              <w:left w:val="single" w:color="auto" w:sz="4" w:space="0"/>
              <w:bottom w:val="single" w:color="auto" w:sz="4" w:space="0"/>
              <w:right w:val="single" w:color="auto" w:sz="4" w:space="0"/>
            </w:tcBorders>
            <w:tcMar/>
            <w:vAlign w:val="center"/>
          </w:tcPr>
          <w:p w:rsidR="135336AD" w:rsidP="135336AD" w:rsidRDefault="135336AD" w14:paraId="1A1CB01E" w14:textId="459C3C7B">
            <w:pPr>
              <w:spacing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135336AD" w:rsidR="135336AD">
              <w:rPr>
                <w:rFonts w:ascii="Calibri" w:hAnsi="Calibri" w:eastAsia="Calibri" w:cs="Calibri"/>
                <w:b w:val="1"/>
                <w:bCs w:val="1"/>
                <w:i w:val="0"/>
                <w:iCs w:val="0"/>
                <w:caps w:val="0"/>
                <w:smallCaps w:val="0"/>
                <w:color w:val="000000" w:themeColor="text1" w:themeTint="FF" w:themeShade="FF"/>
                <w:sz w:val="22"/>
                <w:szCs w:val="22"/>
                <w:lang w:val="en-US"/>
              </w:rPr>
              <w:t>Type</w:t>
            </w:r>
          </w:p>
        </w:tc>
        <w:tc>
          <w:tcPr>
            <w:tcW w:w="10255" w:type="dxa"/>
            <w:tcBorders>
              <w:top w:val="single" w:color="auto" w:sz="4" w:space="0"/>
              <w:left w:val="single" w:color="auto" w:sz="4" w:space="0"/>
              <w:bottom w:val="single" w:color="auto" w:sz="4" w:space="0"/>
              <w:right w:val="single" w:color="auto" w:sz="4" w:space="0"/>
            </w:tcBorders>
            <w:tcMar/>
            <w:vAlign w:val="center"/>
          </w:tcPr>
          <w:p w:rsidR="135336AD" w:rsidP="135336AD" w:rsidRDefault="135336AD" w14:paraId="02B139A3" w14:textId="610EA0D1">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135336AD" w:rsidR="135336AD">
              <w:rPr>
                <w:rFonts w:ascii="Calibri" w:hAnsi="Calibri" w:eastAsia="Calibri" w:cs="Calibri"/>
                <w:b w:val="1"/>
                <w:bCs w:val="1"/>
                <w:i w:val="0"/>
                <w:iCs w:val="0"/>
                <w:caps w:val="0"/>
                <w:smallCaps w:val="0"/>
                <w:color w:val="000000" w:themeColor="text1" w:themeTint="FF" w:themeShade="FF"/>
                <w:sz w:val="22"/>
                <w:szCs w:val="22"/>
                <w:lang w:val="en-US"/>
              </w:rPr>
              <w:t>Specific Standard</w:t>
            </w:r>
          </w:p>
        </w:tc>
      </w:tr>
      <w:tr w:rsidR="733E2240" w:rsidTr="135336AD" w14:paraId="33961E79" w14:textId="77777777">
        <w:trPr>
          <w:trHeight w:val="765"/>
        </w:trPr>
        <w:tc>
          <w:tcPr>
            <w:tcW w:w="1305" w:type="dxa"/>
            <w:tcBorders>
              <w:top w:val="single" w:color="auto" w:sz="4" w:space="0"/>
              <w:left w:val="single" w:color="auto" w:sz="4" w:space="0"/>
              <w:bottom w:val="single" w:color="auto" w:sz="4" w:space="0"/>
              <w:right w:val="single" w:color="auto" w:sz="4" w:space="0"/>
            </w:tcBorders>
            <w:tcMar/>
            <w:vAlign w:val="center"/>
          </w:tcPr>
          <w:p w:rsidR="733E2240" w:rsidP="65A9E752" w:rsidRDefault="73D41E0F" w14:paraId="525B4B55" w14:textId="3EAADFE4">
            <w:pPr>
              <w:spacing w:after="0"/>
              <w:rPr>
                <w:rFonts w:eastAsiaTheme="minorEastAsia"/>
              </w:rPr>
            </w:pPr>
            <w:r w:rsidRPr="65A9E752">
              <w:rPr>
                <w:rFonts w:eastAsiaTheme="minorEastAsia"/>
              </w:rPr>
              <w:t>4j</w:t>
            </w:r>
          </w:p>
        </w:tc>
        <w:tc>
          <w:tcPr>
            <w:tcW w:w="1305" w:type="dxa"/>
            <w:tcBorders>
              <w:top w:val="single" w:color="auto" w:sz="4" w:space="0"/>
              <w:left w:val="single" w:color="auto" w:sz="4" w:space="0"/>
              <w:bottom w:val="single" w:color="auto" w:sz="4" w:space="0"/>
              <w:right w:val="single" w:color="auto" w:sz="4" w:space="0"/>
            </w:tcBorders>
            <w:tcMar/>
            <w:vAlign w:val="center"/>
          </w:tcPr>
          <w:p w:rsidR="733E2240" w:rsidP="65A9E752" w:rsidRDefault="733E2240" w14:paraId="6BF05D96" w14:textId="0169E6BB">
            <w:pPr>
              <w:spacing w:after="0"/>
              <w:jc w:val="center"/>
              <w:rPr>
                <w:rFonts w:eastAsiaTheme="minorEastAsia"/>
                <w:color w:val="000000" w:themeColor="text1"/>
              </w:rPr>
            </w:pPr>
          </w:p>
          <w:p w:rsidR="733E2240" w:rsidP="65A9E752" w:rsidRDefault="292E39F8" w14:paraId="74765768" w14:textId="1DEA58F1">
            <w:pPr>
              <w:spacing w:after="0"/>
              <w:jc w:val="center"/>
              <w:rPr>
                <w:rFonts w:eastAsiaTheme="minorEastAsia"/>
                <w:color w:val="000000" w:themeColor="text1"/>
              </w:rPr>
            </w:pPr>
            <w:r w:rsidRPr="65A9E752">
              <w:rPr>
                <w:rFonts w:eastAsiaTheme="minorEastAsia"/>
              </w:rPr>
              <w:t>Knowledge</w:t>
            </w:r>
          </w:p>
        </w:tc>
        <w:tc>
          <w:tcPr>
            <w:tcW w:w="10255" w:type="dxa"/>
            <w:tcBorders>
              <w:top w:val="single" w:color="auto" w:sz="4" w:space="0"/>
              <w:left w:val="single" w:color="auto" w:sz="4" w:space="0"/>
              <w:bottom w:val="single" w:color="auto" w:sz="4" w:space="0"/>
              <w:right w:val="single" w:color="auto" w:sz="4" w:space="0"/>
            </w:tcBorders>
            <w:tcMar/>
            <w:vAlign w:val="center"/>
          </w:tcPr>
          <w:p w:rsidR="733E2240" w:rsidP="65A9E752" w:rsidRDefault="292E39F8" w14:paraId="2E0F683F" w14:textId="30DAEA2A">
            <w:pPr>
              <w:spacing w:after="0"/>
              <w:rPr>
                <w:rFonts w:ascii="Calibri" w:hAnsi="Calibri" w:eastAsia="Calibri" w:cs="Calibri"/>
              </w:rPr>
            </w:pPr>
            <w:r w:rsidRPr="65A9E752">
              <w:rPr>
                <w:rFonts w:ascii="Calibri" w:hAnsi="Calibri" w:eastAsia="Calibri" w:cs="Calibri"/>
              </w:rPr>
              <w:t>The teacher understands major concepts, assumptions, debates, processes of inquiry, and ways of knowing that are central to the disciplines s/he teaches.</w:t>
            </w:r>
          </w:p>
        </w:tc>
      </w:tr>
      <w:tr w:rsidR="733E2240" w:rsidTr="135336AD" w14:paraId="08847F5F" w14:textId="77777777">
        <w:trPr>
          <w:trHeight w:val="1020"/>
        </w:trPr>
        <w:tc>
          <w:tcPr>
            <w:tcW w:w="1305" w:type="dxa"/>
            <w:tcBorders>
              <w:top w:val="single" w:color="auto" w:sz="4" w:space="0"/>
              <w:left w:val="single" w:color="auto" w:sz="4" w:space="0"/>
              <w:bottom w:val="single" w:color="auto" w:sz="4" w:space="0"/>
              <w:right w:val="single" w:color="auto" w:sz="4" w:space="0"/>
            </w:tcBorders>
            <w:tcMar/>
            <w:vAlign w:val="center"/>
          </w:tcPr>
          <w:p w:rsidR="733E2240" w:rsidP="65A9E752" w:rsidRDefault="10476604" w14:paraId="3E82AB2C" w14:textId="6ABFA35F">
            <w:pPr>
              <w:spacing w:after="0"/>
              <w:rPr>
                <w:rFonts w:eastAsiaTheme="minorEastAsia"/>
              </w:rPr>
            </w:pPr>
            <w:r w:rsidRPr="65A9E752">
              <w:rPr>
                <w:rFonts w:eastAsiaTheme="minorEastAsia"/>
              </w:rPr>
              <w:t>9j</w:t>
            </w:r>
          </w:p>
        </w:tc>
        <w:tc>
          <w:tcPr>
            <w:tcW w:w="1305" w:type="dxa"/>
            <w:tcBorders>
              <w:top w:val="single" w:color="auto" w:sz="4" w:space="0"/>
              <w:left w:val="single" w:color="auto" w:sz="4" w:space="0"/>
              <w:bottom w:val="single" w:color="auto" w:sz="4" w:space="0"/>
              <w:right w:val="single" w:color="auto" w:sz="4" w:space="0"/>
            </w:tcBorders>
            <w:tcMar/>
            <w:vAlign w:val="center"/>
          </w:tcPr>
          <w:p w:rsidR="3A25132E" w:rsidP="65A9E752" w:rsidRDefault="3A25132E" w14:paraId="3FFA3EA9" w14:textId="51D5C74E">
            <w:pPr>
              <w:spacing w:after="0"/>
              <w:jc w:val="center"/>
              <w:rPr>
                <w:rFonts w:eastAsiaTheme="minorEastAsia"/>
                <w:color w:val="000000" w:themeColor="text1"/>
              </w:rPr>
            </w:pPr>
          </w:p>
          <w:p w:rsidR="733E2240" w:rsidP="65A9E752" w:rsidRDefault="4D1D80BB" w14:paraId="63507A1F" w14:textId="4D53EAF1">
            <w:pPr>
              <w:spacing w:after="0"/>
              <w:jc w:val="center"/>
              <w:rPr>
                <w:rFonts w:eastAsiaTheme="minorEastAsia"/>
                <w:color w:val="000000" w:themeColor="text1"/>
              </w:rPr>
            </w:pPr>
            <w:r w:rsidRPr="65A9E752">
              <w:rPr>
                <w:rFonts w:eastAsiaTheme="minorEastAsia"/>
              </w:rPr>
              <w:t>Knowledge</w:t>
            </w:r>
          </w:p>
        </w:tc>
        <w:tc>
          <w:tcPr>
            <w:tcW w:w="10255" w:type="dxa"/>
            <w:tcBorders>
              <w:top w:val="single" w:color="auto" w:sz="4" w:space="0"/>
              <w:left w:val="single" w:color="auto" w:sz="4" w:space="0"/>
              <w:bottom w:val="single" w:color="auto" w:sz="4" w:space="0"/>
              <w:right w:val="single" w:color="auto" w:sz="4" w:space="0"/>
            </w:tcBorders>
            <w:tcMar/>
            <w:vAlign w:val="center"/>
          </w:tcPr>
          <w:p w:rsidR="733E2240" w:rsidP="65A9E752" w:rsidRDefault="7E65CD4C" w14:paraId="6658C615" w14:textId="2113E939">
            <w:pPr>
              <w:spacing w:after="0"/>
              <w:rPr>
                <w:rFonts w:ascii="Calibri" w:hAnsi="Calibri" w:eastAsia="Calibri" w:cs="Calibri"/>
              </w:rPr>
            </w:pPr>
            <w:r w:rsidRPr="65A9E752">
              <w:rPr>
                <w:rFonts w:ascii="Calibri" w:hAnsi="Calibri" w:eastAsia="Calibri" w:cs="Calibri"/>
              </w:rPr>
              <w:t>The teacher understands laws related to learners’ rights and teacher responsibilities (e.g., for educational equity, appropriate education for learners with disabilities, confidentiality, privacy, appropriate treatment of learners, reporting in situations related to possible child abuse).</w:t>
            </w:r>
          </w:p>
        </w:tc>
      </w:tr>
      <w:tr w:rsidR="733E2240" w:rsidTr="135336AD" w14:paraId="5E6AF4AB" w14:textId="77777777">
        <w:trPr>
          <w:trHeight w:val="1020"/>
        </w:trPr>
        <w:tc>
          <w:tcPr>
            <w:tcW w:w="1305" w:type="dxa"/>
            <w:tcBorders>
              <w:top w:val="single" w:color="auto" w:sz="4" w:space="0"/>
              <w:left w:val="single" w:color="auto" w:sz="4" w:space="0"/>
              <w:bottom w:val="single" w:color="auto" w:sz="4" w:space="0"/>
              <w:right w:val="single" w:color="auto" w:sz="4" w:space="0"/>
            </w:tcBorders>
            <w:tcMar/>
            <w:vAlign w:val="center"/>
          </w:tcPr>
          <w:p w:rsidR="733E2240" w:rsidP="65A9E752" w:rsidRDefault="5AA3F0EA" w14:paraId="4BEC1E0A" w14:textId="5432D075">
            <w:pPr>
              <w:spacing w:after="0"/>
              <w:rPr>
                <w:rFonts w:eastAsiaTheme="minorEastAsia"/>
              </w:rPr>
            </w:pPr>
            <w:r w:rsidRPr="65A9E752">
              <w:rPr>
                <w:rFonts w:eastAsiaTheme="minorEastAsia"/>
              </w:rPr>
              <w:t>9o</w:t>
            </w:r>
          </w:p>
        </w:tc>
        <w:tc>
          <w:tcPr>
            <w:tcW w:w="1305" w:type="dxa"/>
            <w:tcBorders>
              <w:top w:val="single" w:color="auto" w:sz="4" w:space="0"/>
              <w:left w:val="single" w:color="auto" w:sz="4" w:space="0"/>
              <w:bottom w:val="single" w:color="auto" w:sz="4" w:space="0"/>
              <w:right w:val="single" w:color="auto" w:sz="4" w:space="0"/>
            </w:tcBorders>
            <w:tcMar/>
            <w:vAlign w:val="center"/>
          </w:tcPr>
          <w:p w:rsidR="733E2240" w:rsidP="65A9E752" w:rsidRDefault="733E2240" w14:paraId="55CF161D" w14:textId="0B856E6F">
            <w:pPr>
              <w:spacing w:after="0"/>
              <w:jc w:val="center"/>
              <w:rPr>
                <w:rFonts w:eastAsiaTheme="minorEastAsia"/>
                <w:color w:val="000000" w:themeColor="text1"/>
              </w:rPr>
            </w:pPr>
          </w:p>
          <w:p w:rsidR="733E2240" w:rsidP="65A9E752" w:rsidRDefault="555C39A8" w14:paraId="40649E8A" w14:textId="5FAFFAD0">
            <w:pPr>
              <w:spacing w:after="0"/>
              <w:jc w:val="center"/>
              <w:rPr>
                <w:rFonts w:eastAsiaTheme="minorEastAsia"/>
                <w:color w:val="000000" w:themeColor="text1"/>
              </w:rPr>
            </w:pPr>
            <w:r w:rsidRPr="65A9E752">
              <w:rPr>
                <w:rFonts w:eastAsiaTheme="minorEastAsia"/>
              </w:rPr>
              <w:t>Disposition</w:t>
            </w:r>
          </w:p>
        </w:tc>
        <w:tc>
          <w:tcPr>
            <w:tcW w:w="10255" w:type="dxa"/>
            <w:tcBorders>
              <w:top w:val="single" w:color="auto" w:sz="4" w:space="0"/>
              <w:left w:val="single" w:color="auto" w:sz="4" w:space="0"/>
              <w:bottom w:val="single" w:color="auto" w:sz="4" w:space="0"/>
              <w:right w:val="single" w:color="auto" w:sz="4" w:space="0"/>
            </w:tcBorders>
            <w:tcMar/>
            <w:vAlign w:val="center"/>
          </w:tcPr>
          <w:p w:rsidR="733E2240" w:rsidP="65A9E752" w:rsidRDefault="555C39A8" w14:paraId="7B17C492" w14:textId="25AF2459">
            <w:pPr>
              <w:spacing w:after="0"/>
              <w:rPr>
                <w:rFonts w:ascii="Calibri" w:hAnsi="Calibri" w:eastAsia="Calibri" w:cs="Calibri"/>
              </w:rPr>
            </w:pPr>
            <w:r w:rsidRPr="65A9E752">
              <w:rPr>
                <w:rFonts w:ascii="Calibri" w:hAnsi="Calibri" w:eastAsia="Calibri" w:cs="Calibri"/>
              </w:rPr>
              <w:t>The teacher understands the expectations of the profession including codes of ethics, professional standards of practice, and relevant law and policy.</w:t>
            </w:r>
          </w:p>
        </w:tc>
      </w:tr>
    </w:tbl>
    <w:p w:rsidRPr="002B51BF" w:rsidR="002B51BF" w:rsidP="65A9E752" w:rsidRDefault="00E42382" w14:paraId="70F6AEFC" w14:textId="055D386F">
      <w:pPr>
        <w:pStyle w:val="Heading2"/>
      </w:pPr>
      <w:r w:rsidRPr="65A9E752">
        <w:t>Assignment Instructions</w:t>
      </w:r>
    </w:p>
    <w:p w:rsidRPr="00F22E0E" w:rsidR="00E42382" w:rsidP="65A9E752" w:rsidRDefault="00E42382" w14:paraId="35F5161F" w14:textId="6B186732">
      <w:pPr>
        <w:pStyle w:val="Heading3"/>
      </w:pPr>
      <w:r w:rsidRPr="65A9E752">
        <w:t>Purpose</w:t>
      </w:r>
    </w:p>
    <w:p w:rsidR="4F365067" w:rsidP="65A9E752" w:rsidRDefault="4F365067" w14:paraId="41F10530" w14:textId="6C192900">
      <w:r w:rsidRPr="65A9E752">
        <w:t>S</w:t>
      </w:r>
      <w:r w:rsidRPr="65A9E752" w:rsidR="6A7E7B50">
        <w:t xml:space="preserve">pecial education teachers to be aware of the laws and policies related to special education. Without </w:t>
      </w:r>
      <w:r w:rsidRPr="65A9E752" w:rsidR="74C11754">
        <w:t>awareness</w:t>
      </w:r>
      <w:r w:rsidRPr="65A9E752" w:rsidR="6A7E7B50">
        <w:t xml:space="preserve">, teachers may </w:t>
      </w:r>
      <w:r w:rsidRPr="65A9E752" w:rsidR="61E5E171">
        <w:t>not</w:t>
      </w:r>
      <w:r w:rsidRPr="65A9E752" w:rsidR="6A7E7B50">
        <w:t xml:space="preserve"> </w:t>
      </w:r>
      <w:r w:rsidRPr="65A9E752" w:rsidR="75528C07">
        <w:t>be privy to</w:t>
      </w:r>
      <w:r w:rsidRPr="65A9E752" w:rsidR="6A7E7B50">
        <w:t xml:space="preserve"> violations when they occur. Having a working knowledge of the law</w:t>
      </w:r>
      <w:r w:rsidRPr="65A9E752" w:rsidR="0875D31B">
        <w:t xml:space="preserve">s related to special education allows teachers to knowingly abide by the laws so that the legal and ethical rights of their students are respected. This assignment invites you to </w:t>
      </w:r>
      <w:r w:rsidRPr="65A9E752" w:rsidR="36750780">
        <w:t xml:space="preserve">apply what you have learned about the laws, policies, and historical events presented in this module to resolve </w:t>
      </w:r>
      <w:r w:rsidRPr="65A9E752" w:rsidR="6D2DA831">
        <w:t>the inequities presented in the scenarios below.</w:t>
      </w:r>
    </w:p>
    <w:p w:rsidR="00E42382" w:rsidP="65A9E752" w:rsidRDefault="00E42382" w14:paraId="6E7A7812" w14:textId="4BE6FFE5">
      <w:pPr>
        <w:pStyle w:val="Heading3"/>
      </w:pPr>
      <w:r w:rsidRPr="65A9E752">
        <w:t>Task</w:t>
      </w:r>
    </w:p>
    <w:p w:rsidR="5E2E77EE" w:rsidP="65A9E752" w:rsidRDefault="5E2E77EE" w14:paraId="19E1112A" w14:textId="2BE0688E">
      <w:r w:rsidRPr="65A9E752">
        <w:t>Your teacher will assign you a partner for this exercise. Independently, you and your partner will review the scenario your instructor assigned to you and consider the inequities represented in the scenario.</w:t>
      </w:r>
      <w:r w:rsidRPr="65A9E752" w:rsidR="2F82EE2A">
        <w:t xml:space="preserve"> Independently, write down</w:t>
      </w:r>
      <w:r w:rsidRPr="65A9E752">
        <w:t xml:space="preserve"> the inequities wi</w:t>
      </w:r>
      <w:r w:rsidRPr="65A9E752" w:rsidR="3D80EA87">
        <w:t>thin the scenario, identify what laws, policies, or ethical codes are being violated within the scenario,</w:t>
      </w:r>
      <w:r w:rsidRPr="65A9E752" w:rsidR="0ED560C3">
        <w:t xml:space="preserve"> and then</w:t>
      </w:r>
      <w:r w:rsidRPr="65A9E752" w:rsidR="3D80EA87">
        <w:t xml:space="preserve"> describe what an equitable resolution might be. </w:t>
      </w:r>
      <w:r w:rsidRPr="65A9E752" w:rsidR="38D9BDFC">
        <w:t>After you and your partner have written down your ideas, share your responses with each other. Lastly, you and your partner will have the opportunity to share your answers with the broader class</w:t>
      </w:r>
      <w:r w:rsidR="00390A84">
        <w:t xml:space="preserve">, </w:t>
      </w:r>
      <w:r w:rsidR="00033F06">
        <w:t>where they can also offer feedback or insights</w:t>
      </w:r>
      <w:r w:rsidRPr="65A9E752" w:rsidR="38D9BDFC">
        <w:t>.</w:t>
      </w:r>
      <w:r w:rsidR="00354A52">
        <w:t xml:space="preserve"> Confer </w:t>
      </w:r>
      <w:r w:rsidR="0061050B">
        <w:t xml:space="preserve">with your partner </w:t>
      </w:r>
      <w:r w:rsidR="00F95454">
        <w:t xml:space="preserve">on any final </w:t>
      </w:r>
      <w:r w:rsidR="00FD4EDF">
        <w:t>revisions</w:t>
      </w:r>
      <w:r w:rsidR="00521E37">
        <w:t>, and then submit your</w:t>
      </w:r>
      <w:r w:rsidR="00137BB6">
        <w:t xml:space="preserve"> work</w:t>
      </w:r>
      <w:r w:rsidR="002D1FC4">
        <w:t xml:space="preserve"> to the assignment folder.</w:t>
      </w:r>
    </w:p>
    <w:p w:rsidR="00E42382" w:rsidP="65A9E752" w:rsidRDefault="00E42382" w14:paraId="5F5EF8A3" w14:textId="165FF70B">
      <w:pPr>
        <w:pStyle w:val="Heading3"/>
      </w:pPr>
      <w:r w:rsidRPr="65A9E752">
        <w:t>Criteria</w:t>
      </w:r>
    </w:p>
    <w:p w:rsidR="3C86E681" w:rsidP="6C8E50B0" w:rsidRDefault="3C86E681" w14:paraId="1C7C0C0C" w14:textId="64DD214E">
      <w:pPr>
        <w:rPr>
          <w:rFonts w:ascii="Calibri" w:hAnsi="Calibri" w:eastAsia="Calibri" w:cs="Calibri"/>
          <w:color w:val="000000" w:themeColor="text1"/>
        </w:rPr>
      </w:pPr>
      <w:r w:rsidRPr="6C8E50B0">
        <w:t xml:space="preserve">You will be evaluated based on the accuracy of </w:t>
      </w:r>
      <w:r w:rsidRPr="6C8E50B0" w:rsidR="034763CE">
        <w:t>the inequities you identify as being represented in the scenario, the</w:t>
      </w:r>
      <w:r w:rsidRPr="6C8E50B0" w:rsidR="213EBB98">
        <w:t xml:space="preserve"> selection of the</w:t>
      </w:r>
      <w:r w:rsidRPr="6C8E50B0" w:rsidR="034763CE">
        <w:t xml:space="preserve"> laws </w:t>
      </w:r>
      <w:r w:rsidRPr="6C8E50B0" w:rsidR="4E3543A5">
        <w:t xml:space="preserve">to understand the </w:t>
      </w:r>
      <w:r w:rsidRPr="6C8E50B0" w:rsidR="2E3BD6BC">
        <w:t>inequities</w:t>
      </w:r>
      <w:r w:rsidRPr="6C8E50B0" w:rsidR="4E3543A5">
        <w:t xml:space="preserve">, </w:t>
      </w:r>
      <w:r w:rsidRPr="6C8E50B0" w:rsidR="3F3616EF">
        <w:t xml:space="preserve">and the effectiveness of the equitable resolution. </w:t>
      </w:r>
      <w:r w:rsidRPr="6C8E50B0" w:rsidR="44166E1D">
        <w:rPr>
          <w:rFonts w:ascii="Calibri" w:hAnsi="Calibri" w:eastAsia="Calibri" w:cs="Calibri"/>
          <w:color w:val="000000" w:themeColor="text1"/>
        </w:rPr>
        <w:t xml:space="preserve">For your </w:t>
      </w:r>
      <w:r w:rsidRPr="3E930206" w:rsidR="44166E1D">
        <w:rPr>
          <w:rFonts w:ascii="Calibri" w:hAnsi="Calibri" w:eastAsia="Calibri" w:cs="Calibri"/>
          <w:color w:val="000000" w:themeColor="text1"/>
        </w:rPr>
        <w:t>description</w:t>
      </w:r>
      <w:r w:rsidRPr="6C8E50B0" w:rsidR="44166E1D">
        <w:rPr>
          <w:rFonts w:ascii="Calibri" w:hAnsi="Calibri" w:eastAsia="Calibri" w:cs="Calibri"/>
          <w:color w:val="000000" w:themeColor="text1"/>
        </w:rPr>
        <w:t>, you will:</w:t>
      </w:r>
    </w:p>
    <w:p w:rsidR="44166E1D" w:rsidP="3E930206" w:rsidRDefault="44166E1D" w14:paraId="584A4139" w14:textId="569B571A">
      <w:pPr>
        <w:pStyle w:val="ListParagraph"/>
        <w:numPr>
          <w:ilvl w:val="0"/>
          <w:numId w:val="2"/>
        </w:numPr>
      </w:pPr>
      <w:r w:rsidRPr="3E930206">
        <w:t>Apply relevant laws, policies, or ethical codes to demonstrate equitable practices.</w:t>
      </w:r>
    </w:p>
    <w:p w:rsidR="44166E1D" w:rsidP="3E930206" w:rsidRDefault="44166E1D" w14:paraId="26841899" w14:textId="6B501E16">
      <w:pPr>
        <w:pStyle w:val="ListParagraph"/>
        <w:numPr>
          <w:ilvl w:val="0"/>
          <w:numId w:val="2"/>
        </w:numPr>
      </w:pPr>
      <w:r w:rsidRPr="3E930206">
        <w:t>Identify inequities presented in context within the scenario and the laws/ethical codes violated.</w:t>
      </w:r>
    </w:p>
    <w:p w:rsidR="3E930206" w:rsidP="3E930206" w:rsidRDefault="44166E1D" w14:paraId="6D1D13A9" w14:textId="650F102F">
      <w:pPr>
        <w:pStyle w:val="ListParagraph"/>
        <w:numPr>
          <w:ilvl w:val="0"/>
          <w:numId w:val="2"/>
        </w:numPr>
      </w:pPr>
      <w:r w:rsidRPr="12417FAF">
        <w:t>Construct an equitable learning experience using the information from the scenario.</w:t>
      </w:r>
    </w:p>
    <w:p w:rsidR="508B6DE5" w:rsidP="65A9E752" w:rsidRDefault="508B6DE5" w14:paraId="02C67952" w14:textId="24152082"/>
    <w:p w:rsidR="65A9E752" w:rsidP="65A9E752" w:rsidRDefault="65A9E752" w14:paraId="56654772" w14:textId="5876B1C7"/>
    <w:p w:rsidR="65A9E752" w:rsidP="65A9E752" w:rsidRDefault="65A9E752" w14:paraId="46907C4E" w14:textId="2FF968C9"/>
    <w:p w:rsidR="65A9E752" w:rsidP="65A9E752" w:rsidRDefault="65A9E752" w14:paraId="452C12BE" w14:textId="7A9140C4"/>
    <w:p w:rsidR="00646F57" w:rsidP="65A9E752" w:rsidRDefault="00646F57" w14:paraId="6FA68772" w14:textId="3D0BD1CC">
      <w:pPr>
        <w:pStyle w:val="Heading2"/>
      </w:pPr>
      <w:r w:rsidR="00646F57">
        <w:rPr/>
        <w:t>Rubric</w:t>
      </w:r>
    </w:p>
    <w:p w:rsidR="000B537C" w:rsidP="65A9E752" w:rsidRDefault="000B537C" w14:paraId="3FF501E9" w14:textId="2BD49822">
      <w:pPr>
        <w:pStyle w:val="Caption"/>
        <w:keepNext/>
        <w:rPr>
          <w:color w:val="auto"/>
        </w:rPr>
      </w:pPr>
      <w:r w:rsidRPr="65A9E752">
        <w:rPr>
          <w:color w:val="auto"/>
        </w:rPr>
        <w:t xml:space="preserve">Table </w:t>
      </w:r>
      <w:r>
        <w:fldChar w:fldCharType="begin"/>
      </w:r>
      <w:r>
        <w:instrText>SEQ Table \* ARABIC</w:instrText>
      </w:r>
      <w:r>
        <w:fldChar w:fldCharType="separate"/>
      </w:r>
      <w:r w:rsidRPr="65A9E752">
        <w:rPr>
          <w:noProof/>
        </w:rPr>
        <w:t>1</w:t>
      </w:r>
      <w:r>
        <w:fldChar w:fldCharType="end"/>
      </w:r>
      <w:r w:rsidRPr="65A9E752">
        <w:rPr>
          <w:color w:val="auto"/>
        </w:rPr>
        <w:t>: Assignment Rubric</w:t>
      </w:r>
    </w:p>
    <w:tbl>
      <w:tblPr>
        <w:tblStyle w:val="TableGrid"/>
        <w:tblW w:w="13207" w:type="dxa"/>
        <w:tblLook w:val="04A0" w:firstRow="1" w:lastRow="0" w:firstColumn="1" w:lastColumn="0" w:noHBand="0" w:noVBand="1"/>
      </w:tblPr>
      <w:tblGrid>
        <w:gridCol w:w="1886"/>
        <w:gridCol w:w="1886"/>
        <w:gridCol w:w="1887"/>
        <w:gridCol w:w="1887"/>
        <w:gridCol w:w="1887"/>
        <w:gridCol w:w="1887"/>
        <w:gridCol w:w="1887"/>
      </w:tblGrid>
      <w:tr w:rsidR="00611D28" w:rsidTr="65A9E752" w14:paraId="1122BA87" w14:textId="77777777">
        <w:trPr>
          <w:trHeight w:val="286"/>
          <w:tblHeader/>
        </w:trPr>
        <w:tc>
          <w:tcPr>
            <w:tcW w:w="1886" w:type="dxa"/>
          </w:tcPr>
          <w:p w:rsidRPr="00CE18BC" w:rsidR="00646F57" w:rsidP="65A9E752" w:rsidRDefault="00E46031" w14:paraId="553EA43C" w14:textId="788A3522">
            <w:pPr>
              <w:rPr>
                <w:b/>
                <w:bCs/>
              </w:rPr>
            </w:pPr>
            <w:r w:rsidRPr="65A9E752">
              <w:rPr>
                <w:b/>
                <w:bCs/>
              </w:rPr>
              <w:t>Criterion</w:t>
            </w:r>
          </w:p>
        </w:tc>
        <w:tc>
          <w:tcPr>
            <w:tcW w:w="1886" w:type="dxa"/>
          </w:tcPr>
          <w:p w:rsidRPr="00CE18BC" w:rsidR="00646F57" w:rsidP="65A9E752" w:rsidRDefault="00E46031" w14:paraId="5F2F760D" w14:textId="761B8BB6">
            <w:pPr>
              <w:rPr>
                <w:b/>
                <w:bCs/>
              </w:rPr>
            </w:pPr>
            <w:proofErr w:type="spellStart"/>
            <w:r w:rsidRPr="65A9E752">
              <w:rPr>
                <w:b/>
                <w:bCs/>
              </w:rPr>
              <w:t>InTASC</w:t>
            </w:r>
            <w:proofErr w:type="spellEnd"/>
          </w:p>
        </w:tc>
        <w:tc>
          <w:tcPr>
            <w:tcW w:w="1887" w:type="dxa"/>
          </w:tcPr>
          <w:p w:rsidRPr="00CE18BC" w:rsidR="00646F57" w:rsidP="65A9E752" w:rsidRDefault="00E46031" w14:paraId="3AD0ABE9" w14:textId="66D796E5">
            <w:pPr>
              <w:rPr>
                <w:b/>
                <w:bCs/>
              </w:rPr>
            </w:pPr>
            <w:proofErr w:type="gramStart"/>
            <w:r w:rsidRPr="65A9E752">
              <w:rPr>
                <w:b/>
                <w:bCs/>
              </w:rPr>
              <w:t>A(</w:t>
            </w:r>
            <w:proofErr w:type="gramEnd"/>
            <w:r w:rsidRPr="65A9E752">
              <w:rPr>
                <w:b/>
                <w:bCs/>
              </w:rPr>
              <w:t>4)</w:t>
            </w:r>
          </w:p>
        </w:tc>
        <w:tc>
          <w:tcPr>
            <w:tcW w:w="1887" w:type="dxa"/>
          </w:tcPr>
          <w:p w:rsidRPr="00CE18BC" w:rsidR="00646F57" w:rsidP="65A9E752" w:rsidRDefault="00E46031" w14:paraId="725FE5A7" w14:textId="4A45E3DA">
            <w:pPr>
              <w:rPr>
                <w:b/>
                <w:bCs/>
              </w:rPr>
            </w:pPr>
            <w:proofErr w:type="gramStart"/>
            <w:r w:rsidRPr="65A9E752">
              <w:rPr>
                <w:b/>
                <w:bCs/>
              </w:rPr>
              <w:t>B(</w:t>
            </w:r>
            <w:proofErr w:type="gramEnd"/>
            <w:r w:rsidRPr="65A9E752">
              <w:rPr>
                <w:b/>
                <w:bCs/>
              </w:rPr>
              <w:t>3)</w:t>
            </w:r>
          </w:p>
        </w:tc>
        <w:tc>
          <w:tcPr>
            <w:tcW w:w="1887" w:type="dxa"/>
          </w:tcPr>
          <w:p w:rsidRPr="00CE18BC" w:rsidR="00646F57" w:rsidP="65A9E752" w:rsidRDefault="00E46031" w14:paraId="63FA39F7" w14:textId="395F202F">
            <w:pPr>
              <w:rPr>
                <w:b/>
                <w:bCs/>
              </w:rPr>
            </w:pPr>
            <w:proofErr w:type="gramStart"/>
            <w:r w:rsidRPr="65A9E752">
              <w:rPr>
                <w:b/>
                <w:bCs/>
              </w:rPr>
              <w:t>C(</w:t>
            </w:r>
            <w:proofErr w:type="gramEnd"/>
            <w:r w:rsidRPr="65A9E752">
              <w:rPr>
                <w:b/>
                <w:bCs/>
              </w:rPr>
              <w:t>2)</w:t>
            </w:r>
          </w:p>
        </w:tc>
        <w:tc>
          <w:tcPr>
            <w:tcW w:w="1887" w:type="dxa"/>
          </w:tcPr>
          <w:p w:rsidRPr="00CE18BC" w:rsidR="00646F57" w:rsidP="65A9E752" w:rsidRDefault="00E46031" w14:paraId="118EB424" w14:textId="1E344481">
            <w:pPr>
              <w:rPr>
                <w:b/>
                <w:bCs/>
              </w:rPr>
            </w:pPr>
            <w:proofErr w:type="gramStart"/>
            <w:r w:rsidRPr="65A9E752">
              <w:rPr>
                <w:b/>
                <w:bCs/>
              </w:rPr>
              <w:t>D(</w:t>
            </w:r>
            <w:proofErr w:type="gramEnd"/>
            <w:r w:rsidRPr="65A9E752">
              <w:rPr>
                <w:b/>
                <w:bCs/>
              </w:rPr>
              <w:t>1)</w:t>
            </w:r>
          </w:p>
        </w:tc>
        <w:tc>
          <w:tcPr>
            <w:tcW w:w="1887" w:type="dxa"/>
          </w:tcPr>
          <w:p w:rsidRPr="00CE18BC" w:rsidR="00646F57" w:rsidP="65A9E752" w:rsidRDefault="00E46031" w14:paraId="2AA182C6" w14:textId="6FCF29F4">
            <w:pPr>
              <w:rPr>
                <w:b/>
                <w:bCs/>
              </w:rPr>
            </w:pPr>
            <w:proofErr w:type="gramStart"/>
            <w:r w:rsidRPr="65A9E752">
              <w:rPr>
                <w:b/>
                <w:bCs/>
              </w:rPr>
              <w:t>F(</w:t>
            </w:r>
            <w:proofErr w:type="gramEnd"/>
            <w:r w:rsidRPr="65A9E752">
              <w:rPr>
                <w:b/>
                <w:bCs/>
              </w:rPr>
              <w:t>0)</w:t>
            </w:r>
          </w:p>
        </w:tc>
      </w:tr>
      <w:tr w:rsidR="00611D28" w:rsidTr="65A9E752" w14:paraId="0F61808D" w14:textId="77777777">
        <w:trPr>
          <w:trHeight w:val="286"/>
        </w:trPr>
        <w:tc>
          <w:tcPr>
            <w:tcW w:w="1886" w:type="dxa"/>
          </w:tcPr>
          <w:p w:rsidR="00646F57" w:rsidP="65A9E752" w:rsidRDefault="0C5F0AA0" w14:paraId="4924C6E4" w14:textId="4FFAE0F7">
            <w:r w:rsidRPr="65A9E752">
              <w:t>Apply relevant laws, policies, or ethical codes to demonstrate equitable practices.</w:t>
            </w:r>
          </w:p>
        </w:tc>
        <w:tc>
          <w:tcPr>
            <w:tcW w:w="1886" w:type="dxa"/>
          </w:tcPr>
          <w:p w:rsidR="733E2240" w:rsidP="65A9E752" w:rsidRDefault="145B163B" w14:paraId="120A1D2A" w14:textId="0D69DF79">
            <w:pPr>
              <w:rPr>
                <w:rFonts w:eastAsiaTheme="minorEastAsia"/>
              </w:rPr>
            </w:pPr>
            <w:r w:rsidRPr="65A9E752">
              <w:rPr>
                <w:rFonts w:eastAsiaTheme="minorEastAsia"/>
              </w:rPr>
              <w:t>4j</w:t>
            </w:r>
          </w:p>
        </w:tc>
        <w:tc>
          <w:tcPr>
            <w:tcW w:w="1887" w:type="dxa"/>
          </w:tcPr>
          <w:p w:rsidR="00646F57" w:rsidP="65A9E752" w:rsidRDefault="2E5011E4" w14:paraId="270A42AC" w14:textId="44F96874">
            <w:r w:rsidRPr="65A9E752">
              <w:t>Applies relevant laws, policies, or ethical codes to demonstrate equitable practices.; response does not include several examples from the scenario to connect to the laws being applied.</w:t>
            </w:r>
          </w:p>
          <w:p w:rsidR="00646F57" w:rsidP="65A9E752" w:rsidRDefault="00646F57" w14:paraId="470DD732" w14:textId="4B18F9B2">
            <w:pPr>
              <w:rPr>
                <w:rFonts w:eastAsiaTheme="minorEastAsia"/>
              </w:rPr>
            </w:pPr>
          </w:p>
        </w:tc>
        <w:tc>
          <w:tcPr>
            <w:tcW w:w="1887" w:type="dxa"/>
          </w:tcPr>
          <w:p w:rsidR="00646F57" w:rsidP="65A9E752" w:rsidRDefault="38545EC7" w14:paraId="3A99B878" w14:textId="11F66A6C">
            <w:r w:rsidRPr="65A9E752">
              <w:t>Applies relevant laws, policies, or ethical codes to demonstrate equitable practices.</w:t>
            </w:r>
          </w:p>
          <w:p w:rsidR="00646F57" w:rsidP="65A9E752" w:rsidRDefault="00646F57" w14:paraId="79056331" w14:textId="622B4B39">
            <w:pPr>
              <w:rPr>
                <w:rFonts w:eastAsiaTheme="minorEastAsia"/>
              </w:rPr>
            </w:pPr>
          </w:p>
        </w:tc>
        <w:tc>
          <w:tcPr>
            <w:tcW w:w="1887" w:type="dxa"/>
          </w:tcPr>
          <w:p w:rsidR="00646F57" w:rsidP="65A9E752" w:rsidRDefault="0A7655D8" w14:paraId="29E8B247" w14:textId="18DB0322">
            <w:r w:rsidRPr="65A9E752">
              <w:t>Applies relevant laws, policies, or ethical codes to demonstrate equitable practices.; response does not include examples from the scenario to connect to the laws being applied.</w:t>
            </w:r>
          </w:p>
          <w:p w:rsidR="00646F57" w:rsidP="65A9E752" w:rsidRDefault="00646F57" w14:paraId="5EBB3A52" w14:textId="428E8CD8">
            <w:pPr>
              <w:rPr>
                <w:rFonts w:eastAsiaTheme="minorEastAsia"/>
              </w:rPr>
            </w:pPr>
          </w:p>
        </w:tc>
        <w:tc>
          <w:tcPr>
            <w:tcW w:w="1887" w:type="dxa"/>
          </w:tcPr>
          <w:p w:rsidR="00646F57" w:rsidP="65A9E752" w:rsidRDefault="0A7655D8" w14:paraId="2C209866" w14:textId="180D2FDE">
            <w:r w:rsidRPr="65A9E752">
              <w:t>Incorrectly applies relevant laws, policies, or ethical codes to demonstrate equitable practices.</w:t>
            </w:r>
          </w:p>
          <w:p w:rsidR="00646F57" w:rsidP="65A9E752" w:rsidRDefault="00646F57" w14:paraId="4FB94ECE" w14:textId="0E65A1BD">
            <w:pPr>
              <w:rPr>
                <w:rFonts w:eastAsiaTheme="minorEastAsia"/>
              </w:rPr>
            </w:pPr>
          </w:p>
        </w:tc>
        <w:tc>
          <w:tcPr>
            <w:tcW w:w="1887" w:type="dxa"/>
          </w:tcPr>
          <w:p w:rsidR="00646F57" w:rsidP="65A9E752" w:rsidRDefault="45EF0C64" w14:paraId="15F7756D" w14:textId="0BE649E1">
            <w:r w:rsidRPr="65A9E752">
              <w:t>Does not apply relevant laws, policies, or ethical codes to demonstrate equitable practices.</w:t>
            </w:r>
          </w:p>
          <w:p w:rsidR="00646F57" w:rsidP="65A9E752" w:rsidRDefault="00646F57" w14:paraId="131107B6" w14:textId="592D772A">
            <w:pPr>
              <w:rPr>
                <w:rFonts w:eastAsiaTheme="minorEastAsia"/>
              </w:rPr>
            </w:pPr>
          </w:p>
        </w:tc>
      </w:tr>
      <w:tr w:rsidR="00611D28" w:rsidTr="65A9E752" w14:paraId="3F7EEF16" w14:textId="77777777">
        <w:trPr>
          <w:trHeight w:val="276"/>
        </w:trPr>
        <w:tc>
          <w:tcPr>
            <w:tcW w:w="1886" w:type="dxa"/>
          </w:tcPr>
          <w:p w:rsidR="00646F57" w:rsidP="65A9E752" w:rsidRDefault="38545EC7" w14:paraId="2A8D53E0" w14:textId="1CE6C7D8">
            <w:r w:rsidRPr="65A9E752">
              <w:t>Identify inequities presented in context within the scenario and the laws/ethical codes violated.</w:t>
            </w:r>
          </w:p>
        </w:tc>
        <w:tc>
          <w:tcPr>
            <w:tcW w:w="1886" w:type="dxa"/>
          </w:tcPr>
          <w:p w:rsidR="733E2240" w:rsidP="65A9E752" w:rsidRDefault="145B163B" w14:paraId="15BFAD87" w14:textId="1E3BAF36">
            <w:pPr>
              <w:spacing w:line="259" w:lineRule="auto"/>
              <w:rPr>
                <w:rFonts w:eastAsiaTheme="minorEastAsia"/>
              </w:rPr>
            </w:pPr>
            <w:r w:rsidRPr="65A9E752">
              <w:rPr>
                <w:rFonts w:eastAsiaTheme="minorEastAsia"/>
              </w:rPr>
              <w:t>9j</w:t>
            </w:r>
          </w:p>
        </w:tc>
        <w:tc>
          <w:tcPr>
            <w:tcW w:w="1887" w:type="dxa"/>
          </w:tcPr>
          <w:p w:rsidR="00646F57" w:rsidP="65A9E752" w:rsidRDefault="105FEA78" w14:paraId="181FB971" w14:textId="0E69F9BC">
            <w:r w:rsidRPr="65A9E752">
              <w:t>Identifies inequities presented in context within the scenario and the laws/ethical codes violated; response is supported with context from the scenario.</w:t>
            </w:r>
          </w:p>
          <w:p w:rsidR="00646F57" w:rsidP="65A9E752" w:rsidRDefault="00646F57" w14:paraId="09DAA7A0" w14:textId="05BAB729">
            <w:pPr>
              <w:rPr>
                <w:rFonts w:eastAsiaTheme="minorEastAsia"/>
              </w:rPr>
            </w:pPr>
          </w:p>
        </w:tc>
        <w:tc>
          <w:tcPr>
            <w:tcW w:w="1887" w:type="dxa"/>
          </w:tcPr>
          <w:p w:rsidR="00646F57" w:rsidP="65A9E752" w:rsidRDefault="3271FA85" w14:paraId="3238EFBA" w14:textId="0892A0BB">
            <w:r w:rsidRPr="65A9E752">
              <w:t>Identifies inequities presented in context within the scenario and the laws/ethical codes violated.</w:t>
            </w:r>
          </w:p>
          <w:p w:rsidR="00646F57" w:rsidP="65A9E752" w:rsidRDefault="00646F57" w14:paraId="245D48DE" w14:textId="7EEDA8DA">
            <w:pPr>
              <w:rPr>
                <w:rFonts w:eastAsiaTheme="minorEastAsia"/>
              </w:rPr>
            </w:pPr>
          </w:p>
        </w:tc>
        <w:tc>
          <w:tcPr>
            <w:tcW w:w="1887" w:type="dxa"/>
          </w:tcPr>
          <w:p w:rsidR="00646F57" w:rsidP="65A9E752" w:rsidRDefault="286DADA2" w14:paraId="29C138C7" w14:textId="53258EB4">
            <w:r w:rsidRPr="65A9E752">
              <w:t>Identifies inequities presented in context within the scenario and the laws/ethical codes violated; response is missing cont</w:t>
            </w:r>
            <w:r w:rsidRPr="65A9E752" w:rsidR="7E146671">
              <w:t>ext from the scenario.</w:t>
            </w:r>
          </w:p>
        </w:tc>
        <w:tc>
          <w:tcPr>
            <w:tcW w:w="1887" w:type="dxa"/>
          </w:tcPr>
          <w:p w:rsidR="00646F57" w:rsidP="65A9E752" w:rsidRDefault="6154D0B6" w14:paraId="632A4B64" w14:textId="341A8F75">
            <w:r w:rsidRPr="65A9E752">
              <w:t>Inaccurately identifies inequities presented in context within the scenario and the laws/ethical codes violated.</w:t>
            </w:r>
          </w:p>
          <w:p w:rsidR="00646F57" w:rsidP="65A9E752" w:rsidRDefault="00646F57" w14:paraId="74ABF2BF" w14:textId="5491BEF9">
            <w:pPr>
              <w:rPr>
                <w:rFonts w:eastAsiaTheme="minorEastAsia"/>
              </w:rPr>
            </w:pPr>
          </w:p>
        </w:tc>
        <w:tc>
          <w:tcPr>
            <w:tcW w:w="1887" w:type="dxa"/>
          </w:tcPr>
          <w:p w:rsidR="00646F57" w:rsidP="65A9E752" w:rsidRDefault="31B5540D" w14:paraId="6D85FD6B" w14:textId="66297306">
            <w:r w:rsidRPr="65A9E752">
              <w:t>Does not identify inequities presented in context within the scenario and the laws/ethical codes violated.</w:t>
            </w:r>
          </w:p>
          <w:p w:rsidR="00646F57" w:rsidP="65A9E752" w:rsidRDefault="00646F57" w14:paraId="038C7C08" w14:textId="6EFC0EAA">
            <w:pPr>
              <w:rPr>
                <w:rFonts w:eastAsiaTheme="minorEastAsia"/>
              </w:rPr>
            </w:pPr>
          </w:p>
        </w:tc>
      </w:tr>
      <w:tr w:rsidR="00611D28" w:rsidTr="65A9E752" w14:paraId="6B7E64F3" w14:textId="77777777">
        <w:trPr>
          <w:trHeight w:val="286"/>
        </w:trPr>
        <w:tc>
          <w:tcPr>
            <w:tcW w:w="1886" w:type="dxa"/>
          </w:tcPr>
          <w:p w:rsidR="00646F57" w:rsidP="65A9E752" w:rsidRDefault="094231D7" w14:paraId="03A6F0F8" w14:textId="602886DD">
            <w:r w:rsidRPr="65A9E752">
              <w:t>Construct an equitable learning experience using the information from the scenario.</w:t>
            </w:r>
          </w:p>
        </w:tc>
        <w:tc>
          <w:tcPr>
            <w:tcW w:w="1886" w:type="dxa"/>
          </w:tcPr>
          <w:p w:rsidR="00646F57" w:rsidP="65A9E752" w:rsidRDefault="145B163B" w14:paraId="367702A2" w14:textId="4574DA8D">
            <w:pPr>
              <w:rPr>
                <w:rFonts w:eastAsiaTheme="minorEastAsia"/>
              </w:rPr>
            </w:pPr>
            <w:r w:rsidRPr="65A9E752">
              <w:rPr>
                <w:rFonts w:eastAsiaTheme="minorEastAsia"/>
              </w:rPr>
              <w:t>9o</w:t>
            </w:r>
          </w:p>
        </w:tc>
        <w:tc>
          <w:tcPr>
            <w:tcW w:w="1887" w:type="dxa"/>
          </w:tcPr>
          <w:p w:rsidR="00646F57" w:rsidP="65A9E752" w:rsidRDefault="65887E86" w14:paraId="4D2D92ED" w14:textId="546671E9">
            <w:r w:rsidRPr="65A9E752">
              <w:t>Constructs an equitable learning experience using the information from the scenario; all inequities presented in the scenario were addressed.</w:t>
            </w:r>
          </w:p>
          <w:p w:rsidR="00646F57" w:rsidP="65A9E752" w:rsidRDefault="00646F57" w14:paraId="0EACBE99" w14:textId="6B8F5EDA">
            <w:pPr>
              <w:rPr>
                <w:rFonts w:eastAsiaTheme="minorEastAsia"/>
              </w:rPr>
            </w:pPr>
          </w:p>
        </w:tc>
        <w:tc>
          <w:tcPr>
            <w:tcW w:w="1887" w:type="dxa"/>
          </w:tcPr>
          <w:p w:rsidR="00646F57" w:rsidP="65A9E752" w:rsidRDefault="5EA87716" w14:paraId="0C60C7AC" w14:textId="73BCCDDF">
            <w:r w:rsidRPr="65A9E752">
              <w:t>Constructs an equitable learning experience using the information from the scenario.</w:t>
            </w:r>
          </w:p>
          <w:p w:rsidR="00646F57" w:rsidP="65A9E752" w:rsidRDefault="00646F57" w14:paraId="14189A79" w14:textId="309B5714">
            <w:pPr>
              <w:rPr>
                <w:rFonts w:eastAsiaTheme="minorEastAsia"/>
              </w:rPr>
            </w:pPr>
          </w:p>
        </w:tc>
        <w:tc>
          <w:tcPr>
            <w:tcW w:w="1887" w:type="dxa"/>
          </w:tcPr>
          <w:p w:rsidR="00646F57" w:rsidP="65A9E752" w:rsidRDefault="16C680DC" w14:paraId="59B71351" w14:textId="5A63178E">
            <w:r w:rsidRPr="65A9E752">
              <w:t>Constructs an equitable learning experience using the information from the scenario;</w:t>
            </w:r>
            <w:r w:rsidRPr="65A9E752" w:rsidR="0B708102">
              <w:t xml:space="preserve"> some inequities presented in the scenario were unaddressed</w:t>
            </w:r>
            <w:r w:rsidRPr="65A9E752">
              <w:t>.</w:t>
            </w:r>
          </w:p>
          <w:p w:rsidR="00646F57" w:rsidP="65A9E752" w:rsidRDefault="00646F57" w14:paraId="0EEAD1DA" w14:textId="658B19E9">
            <w:pPr>
              <w:rPr>
                <w:rFonts w:eastAsiaTheme="minorEastAsia"/>
              </w:rPr>
            </w:pPr>
          </w:p>
        </w:tc>
        <w:tc>
          <w:tcPr>
            <w:tcW w:w="1887" w:type="dxa"/>
          </w:tcPr>
          <w:p w:rsidR="00646F57" w:rsidP="65A9E752" w:rsidRDefault="3D8E4769" w14:paraId="4947A2A5" w14:textId="2FEC46B4">
            <w:r w:rsidRPr="65A9E752">
              <w:t>Constructs an inadequate equitable learning experience using the information from the scenario.</w:t>
            </w:r>
          </w:p>
          <w:p w:rsidR="00646F57" w:rsidP="65A9E752" w:rsidRDefault="00646F57" w14:paraId="61814D05" w14:textId="61740BC0">
            <w:pPr>
              <w:rPr>
                <w:rFonts w:eastAsiaTheme="minorEastAsia"/>
              </w:rPr>
            </w:pPr>
          </w:p>
        </w:tc>
        <w:tc>
          <w:tcPr>
            <w:tcW w:w="1887" w:type="dxa"/>
          </w:tcPr>
          <w:p w:rsidR="00646F57" w:rsidP="65A9E752" w:rsidRDefault="3D8E4769" w14:paraId="3323EB2E" w14:textId="5AA64831">
            <w:r w:rsidRPr="65A9E752">
              <w:t>Does not construct an equitable learning experience using the information from the scenario.</w:t>
            </w:r>
          </w:p>
          <w:p w:rsidR="00646F57" w:rsidP="65A9E752" w:rsidRDefault="00646F57" w14:paraId="387494D4" w14:textId="753BC050">
            <w:pPr>
              <w:rPr>
                <w:rFonts w:eastAsiaTheme="minorEastAsia"/>
              </w:rPr>
            </w:pPr>
          </w:p>
        </w:tc>
      </w:tr>
    </w:tbl>
    <w:p w:rsidR="00646F57" w:rsidP="65A9E752" w:rsidRDefault="00646F57" w14:paraId="634E2A23" w14:textId="77777777"/>
    <w:p w:rsidR="65A9E752" w:rsidP="65A9E752" w:rsidRDefault="65A9E752" w14:paraId="2F8E6760" w14:textId="137AF9E1"/>
    <w:p w:rsidR="508B6DE5" w:rsidP="65A9E752" w:rsidRDefault="508B6DE5" w14:paraId="774562E5" w14:textId="35FDCD16"/>
    <w:p w:rsidR="508B6DE5" w:rsidP="65A9E752" w:rsidRDefault="508B6DE5" w14:paraId="1A494F8C" w14:textId="1A0B2189"/>
    <w:p w:rsidR="508B6DE5" w:rsidP="65A9E752" w:rsidRDefault="508B6DE5" w14:paraId="10D35B54" w14:textId="4959B636"/>
    <w:p w:rsidR="508B6DE5" w:rsidP="65A9E752" w:rsidRDefault="508B6DE5" w14:paraId="11450241" w14:textId="6E749514"/>
    <w:p w:rsidR="508B6DE5" w:rsidP="65A9E752" w:rsidRDefault="508B6DE5" w14:paraId="78BB6AA4" w14:textId="0428E9F4"/>
    <w:p w:rsidR="508B6DE5" w:rsidP="65A9E752" w:rsidRDefault="508B6DE5" w14:paraId="1AD70AFB" w14:textId="7B4CC474"/>
    <w:p w:rsidR="508B6DE5" w:rsidP="65A9E752" w:rsidRDefault="508B6DE5" w14:paraId="508CFA1A" w14:textId="1AF73F3B"/>
    <w:p w:rsidR="508B6DE5" w:rsidP="65A9E752" w:rsidRDefault="508B6DE5" w14:paraId="44E4BDBA" w14:textId="2B41108F"/>
    <w:p w:rsidR="3375F151" w:rsidP="65A9E752" w:rsidRDefault="3375F151" w14:paraId="3EFBD4A0" w14:textId="2B339E13"/>
    <w:p w:rsidR="3375F151" w:rsidP="65A9E752" w:rsidRDefault="3375F151" w14:paraId="586FE9F6" w14:textId="6C158B16"/>
    <w:p w:rsidR="3375F151" w:rsidP="65A9E752" w:rsidRDefault="3375F151" w14:paraId="2BD7A7D1" w14:textId="16C9CCBA"/>
    <w:p w:rsidR="3375F151" w:rsidP="65A9E752" w:rsidRDefault="3375F151" w14:paraId="7EFE49C0" w14:textId="25155B29"/>
    <w:p w:rsidR="3375F151" w:rsidP="65A9E752" w:rsidRDefault="3375F151" w14:paraId="7A012F30" w14:textId="2A561734"/>
    <w:p w:rsidR="3375F151" w:rsidP="65A9E752" w:rsidRDefault="3375F151" w14:paraId="2B44F730" w14:textId="760B58C6"/>
    <w:p w:rsidR="3375F151" w:rsidP="337983A3" w:rsidRDefault="3375F151" w14:paraId="43B82E41" w14:textId="0EC48439">
      <w:pPr>
        <w:pStyle w:val="Heading2"/>
      </w:pPr>
      <w:r w:rsidR="3375F151">
        <w:rPr/>
        <w:t>Scenarios</w:t>
      </w:r>
    </w:p>
    <w:p w:rsidR="48EECB6D" w:rsidP="314DE379" w:rsidRDefault="48EECB6D" w14:paraId="65A176F1" w14:textId="333740A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4DE379" w:rsidR="48EECB6D">
        <w:rPr>
          <w:rFonts w:ascii="Calibri" w:hAnsi="Calibri" w:eastAsia="Calibri" w:cs="Calibri"/>
          <w:b w:val="0"/>
          <w:bCs w:val="0"/>
          <w:i w:val="0"/>
          <w:iCs w:val="0"/>
          <w:caps w:val="0"/>
          <w:smallCaps w:val="0"/>
          <w:noProof w:val="0"/>
          <w:color w:val="000000" w:themeColor="text1" w:themeTint="FF" w:themeShade="FF"/>
          <w:sz w:val="22"/>
          <w:szCs w:val="22"/>
          <w:lang w:val="en-US"/>
        </w:rPr>
        <w:t>The following scenarios were generated from Microsoft Copilot (2024).</w:t>
      </w:r>
    </w:p>
    <w:p w:rsidR="3375F151" w:rsidP="337983A3" w:rsidRDefault="3375F151" w14:paraId="4C3B4E59" w14:textId="39A3F68A">
      <w:pPr>
        <w:pStyle w:val="Heading3"/>
      </w:pPr>
      <w:r w:rsidRPr="65A9E752">
        <w:t>Scenario 1</w:t>
      </w:r>
    </w:p>
    <w:p w:rsidR="3375F151" w:rsidP="65A9E752" w:rsidRDefault="3375F151" w14:paraId="17E2BF7A" w14:textId="39A6D803">
      <w:r w:rsidRPr="65A9E752">
        <w:t xml:space="preserve">Alex, a seventeen-year-old student </w:t>
      </w:r>
      <w:r w:rsidRPr="65A9E752" w:rsidR="2412D4C2">
        <w:t xml:space="preserve">eleventh grader </w:t>
      </w:r>
      <w:r w:rsidRPr="65A9E752">
        <w:t xml:space="preserve">from New Mexico, is </w:t>
      </w:r>
      <w:r w:rsidRPr="65A9E752" w:rsidR="12C863EA">
        <w:t xml:space="preserve">a talented young man with hopes of going on to college. However, he is </w:t>
      </w:r>
      <w:r w:rsidRPr="65A9E752">
        <w:t>visually impaired and struggles to access textbooks and class materials</w:t>
      </w:r>
      <w:r w:rsidRPr="65A9E752" w:rsidR="3EBDB811">
        <w:t xml:space="preserve"> at his school. To complete assignments, he often </w:t>
      </w:r>
      <w:proofErr w:type="gramStart"/>
      <w:r w:rsidRPr="65A9E752" w:rsidR="3EBDB811">
        <w:t>has to</w:t>
      </w:r>
      <w:proofErr w:type="gramEnd"/>
      <w:r w:rsidRPr="65A9E752" w:rsidR="3EBDB811">
        <w:t xml:space="preserve"> either participate in reading groups with his classmates or ask his younger sister to read his textbooks to him. When she is not available, Alex stays after school with his teacher and h</w:t>
      </w:r>
      <w:r w:rsidRPr="65A9E752" w:rsidR="1BD6F6D1">
        <w:t xml:space="preserve">is teacher </w:t>
      </w:r>
      <w:r w:rsidRPr="65A9E752" w:rsidR="3EBDB811">
        <w:t xml:space="preserve">reads with him. </w:t>
      </w:r>
    </w:p>
    <w:p w:rsidR="00733317" w:rsidP="65A9E752" w:rsidRDefault="00733317" w14:paraId="714C6EAB" w14:textId="1CE9B53B">
      <w:r w:rsidR="7A564D76">
        <w:rPr/>
        <w:t xml:space="preserve">What are the inequities here? What laws are in violation, if any? What would you do differently to support this student? </w:t>
      </w:r>
    </w:p>
    <w:p w:rsidR="7A564D76" w:rsidP="337983A3" w:rsidRDefault="7A564D76" w14:paraId="65B69406" w14:textId="24B90B6F">
      <w:pPr>
        <w:pStyle w:val="Heading3"/>
      </w:pPr>
      <w:r w:rsidRPr="65A9E752">
        <w:t>Scenario 2</w:t>
      </w:r>
    </w:p>
    <w:p w:rsidR="662E133E" w:rsidP="65A9E752" w:rsidRDefault="662E133E" w14:paraId="094552C2" w14:textId="19477D49">
      <w:r w:rsidRPr="65A9E752">
        <w:t xml:space="preserve">Sophia, a fifteen-year-old student </w:t>
      </w:r>
      <w:r w:rsidRPr="65A9E752" w:rsidR="7D056B7A">
        <w:t xml:space="preserve">ninth grader </w:t>
      </w:r>
      <w:r w:rsidRPr="65A9E752">
        <w:t>from Minnesota, is an enthusiastic student with a passion for music</w:t>
      </w:r>
      <w:r w:rsidRPr="65A9E752" w:rsidR="16BF929B">
        <w:t>. However, Sophia is hearing impaired and, as a result, has not been able to p</w:t>
      </w:r>
      <w:r w:rsidRPr="65A9E752">
        <w:t>articipate in the school’s musical ensembles and c</w:t>
      </w:r>
      <w:r w:rsidRPr="65A9E752" w:rsidR="669CDBE8">
        <w:t>lubs. While she excels at piano and cello at home, she does not feel she has been afforded the same opportunities in the context of her school.</w:t>
      </w:r>
    </w:p>
    <w:p w:rsidR="508B6DE5" w:rsidP="65A9E752" w:rsidRDefault="508B6DE5" w14:paraId="0468BDDD" w14:textId="7C6FD4C8">
      <w:r w:rsidR="7A564D76">
        <w:rPr/>
        <w:t>What are the inequities here? What laws are in violation, if any? What would you do differently to support this student?</w:t>
      </w:r>
    </w:p>
    <w:p w:rsidR="7A564D76" w:rsidP="337983A3" w:rsidRDefault="7A564D76" w14:paraId="3A55C97A" w14:textId="7C4ED8C2">
      <w:pPr>
        <w:pStyle w:val="Heading3"/>
      </w:pPr>
      <w:r w:rsidRPr="65A9E752">
        <w:t>Scenario 3</w:t>
      </w:r>
    </w:p>
    <w:p w:rsidR="0275A766" w:rsidP="65A9E752" w:rsidRDefault="0275A766" w14:paraId="1E0F0A98" w14:textId="5EE6C264">
      <w:r w:rsidRPr="65A9E752">
        <w:t>Maria, a twelve-year-old</w:t>
      </w:r>
      <w:r w:rsidRPr="65A9E752" w:rsidR="04A7C5F3">
        <w:t xml:space="preserve"> sixth grader from Montana, enjoys learning of any kind. Unfortunately, she faces unique challenges due to her ADHD. Her impulsivity occasionally leads to disruptions in class, resulting in her teacher frequently sending her to the principal’s office for minor incidents. Maria notices that </w:t>
      </w:r>
      <w:r w:rsidRPr="65A9E752" w:rsidR="47EC90CE">
        <w:t xml:space="preserve">her punishment tends to be harsher than the punishment of her non-disabled classmates, making her feel like she doesn’t belong at the school. </w:t>
      </w:r>
    </w:p>
    <w:p w:rsidR="7A564D76" w:rsidP="65A9E752" w:rsidRDefault="7A564D76" w14:paraId="39CEAE39" w14:textId="136AA056">
      <w:r w:rsidR="7A564D76">
        <w:rPr/>
        <w:t>What are the inequities here? What laws are in violation, if any? What would you do differently to support this student?</w:t>
      </w:r>
    </w:p>
    <w:p w:rsidR="508B6DE5" w:rsidP="314DE379" w:rsidRDefault="508B6DE5" w14:paraId="78C1B660" w14:textId="1B7C4250">
      <w:pPr>
        <w:pStyle w:val="Heading2"/>
        <w:spacing w:after="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314DE379" w:rsidR="40D33352">
        <w:rPr>
          <w:rFonts w:ascii="Calibri" w:hAnsi="Calibri" w:eastAsia="Calibri" w:cs="Calibri"/>
          <w:b w:val="1"/>
          <w:bCs w:val="1"/>
          <w:i w:val="0"/>
          <w:iCs w:val="0"/>
          <w:caps w:val="0"/>
          <w:smallCaps w:val="0"/>
          <w:noProof w:val="0"/>
          <w:color w:val="000000" w:themeColor="text1" w:themeTint="FF" w:themeShade="FF"/>
          <w:sz w:val="24"/>
          <w:szCs w:val="24"/>
          <w:lang w:val="en-US"/>
        </w:rPr>
        <w:t>Reference</w:t>
      </w:r>
    </w:p>
    <w:p w:rsidR="508B6DE5" w:rsidP="314DE379" w:rsidRDefault="508B6DE5" w14:paraId="2A06427F" w14:textId="5C00328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4DE379" w:rsidR="40D333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Microsoft. (2024). </w:t>
      </w:r>
      <w:r w:rsidRPr="314DE379" w:rsidR="40D33352">
        <w:rPr>
          <w:rFonts w:ascii="Calibri" w:hAnsi="Calibri" w:eastAsia="Calibri" w:cs="Calibri"/>
          <w:b w:val="0"/>
          <w:bCs w:val="0"/>
          <w:i w:val="1"/>
          <w:iCs w:val="1"/>
          <w:caps w:val="0"/>
          <w:smallCaps w:val="0"/>
          <w:noProof w:val="0"/>
          <w:color w:val="000000" w:themeColor="text1" w:themeTint="FF" w:themeShade="FF"/>
          <w:sz w:val="22"/>
          <w:szCs w:val="22"/>
          <w:lang w:val="en-US"/>
        </w:rPr>
        <w:t xml:space="preserve">Copilot. </w:t>
      </w:r>
      <w:hyperlink r:id="Rd119b1ad12634c66">
        <w:r w:rsidRPr="314DE379" w:rsidR="40D33352">
          <w:rPr>
            <w:rStyle w:val="Hyperlink"/>
            <w:rFonts w:ascii="Calibri" w:hAnsi="Calibri" w:eastAsia="Calibri" w:cs="Calibri"/>
            <w:b w:val="0"/>
            <w:bCs w:val="0"/>
            <w:i w:val="0"/>
            <w:iCs w:val="0"/>
            <w:caps w:val="0"/>
            <w:smallCaps w:val="0"/>
            <w:strike w:val="0"/>
            <w:dstrike w:val="0"/>
            <w:noProof w:val="0"/>
            <w:sz w:val="22"/>
            <w:szCs w:val="22"/>
            <w:lang w:val="en-US"/>
          </w:rPr>
          <w:t>www.bing.com/chat.</w:t>
        </w:r>
      </w:hyperlink>
    </w:p>
    <w:p w:rsidR="508B6DE5" w:rsidP="314DE379" w:rsidRDefault="508B6DE5" w14:paraId="6D61B893" w14:textId="2E4FBDD5">
      <w:pPr>
        <w:pStyle w:val="Normal"/>
      </w:pPr>
    </w:p>
    <w:p w:rsidR="508B6DE5" w:rsidP="65A9E752" w:rsidRDefault="508B6DE5" w14:paraId="7AFB6AF1" w14:textId="72E1D410"/>
    <w:p w:rsidR="508B6DE5" w:rsidP="65A9E752" w:rsidRDefault="508B6DE5" w14:paraId="6B01F5C8" w14:textId="0F8CEAA8"/>
    <w:sectPr w:rsidR="508B6DE5" w:rsidSect="00DE376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A915"/>
    <w:multiLevelType w:val="hybridMultilevel"/>
    <w:tmpl w:val="FFFFFFFF"/>
    <w:lvl w:ilvl="0" w:tplc="4ED0FE4A">
      <w:start w:val="1"/>
      <w:numFmt w:val="bullet"/>
      <w:lvlText w:val=""/>
      <w:lvlJc w:val="left"/>
      <w:pPr>
        <w:ind w:left="720" w:hanging="360"/>
      </w:pPr>
      <w:rPr>
        <w:rFonts w:hint="default" w:ascii="Symbol" w:hAnsi="Symbol"/>
      </w:rPr>
    </w:lvl>
    <w:lvl w:ilvl="1" w:tplc="17D466BC">
      <w:start w:val="1"/>
      <w:numFmt w:val="bullet"/>
      <w:lvlText w:val="o"/>
      <w:lvlJc w:val="left"/>
      <w:pPr>
        <w:ind w:left="1440" w:hanging="360"/>
      </w:pPr>
      <w:rPr>
        <w:rFonts w:hint="default" w:ascii="Courier New" w:hAnsi="Courier New"/>
      </w:rPr>
    </w:lvl>
    <w:lvl w:ilvl="2" w:tplc="C9C2CCF6">
      <w:start w:val="1"/>
      <w:numFmt w:val="bullet"/>
      <w:lvlText w:val=""/>
      <w:lvlJc w:val="left"/>
      <w:pPr>
        <w:ind w:left="2160" w:hanging="360"/>
      </w:pPr>
      <w:rPr>
        <w:rFonts w:hint="default" w:ascii="Wingdings" w:hAnsi="Wingdings"/>
      </w:rPr>
    </w:lvl>
    <w:lvl w:ilvl="3" w:tplc="B0F2D150">
      <w:start w:val="1"/>
      <w:numFmt w:val="bullet"/>
      <w:lvlText w:val=""/>
      <w:lvlJc w:val="left"/>
      <w:pPr>
        <w:ind w:left="2880" w:hanging="360"/>
      </w:pPr>
      <w:rPr>
        <w:rFonts w:hint="default" w:ascii="Symbol" w:hAnsi="Symbol"/>
      </w:rPr>
    </w:lvl>
    <w:lvl w:ilvl="4" w:tplc="6C66E468">
      <w:start w:val="1"/>
      <w:numFmt w:val="bullet"/>
      <w:lvlText w:val="o"/>
      <w:lvlJc w:val="left"/>
      <w:pPr>
        <w:ind w:left="3600" w:hanging="360"/>
      </w:pPr>
      <w:rPr>
        <w:rFonts w:hint="default" w:ascii="Courier New" w:hAnsi="Courier New"/>
      </w:rPr>
    </w:lvl>
    <w:lvl w:ilvl="5" w:tplc="29C84DB6">
      <w:start w:val="1"/>
      <w:numFmt w:val="bullet"/>
      <w:lvlText w:val=""/>
      <w:lvlJc w:val="left"/>
      <w:pPr>
        <w:ind w:left="4320" w:hanging="360"/>
      </w:pPr>
      <w:rPr>
        <w:rFonts w:hint="default" w:ascii="Wingdings" w:hAnsi="Wingdings"/>
      </w:rPr>
    </w:lvl>
    <w:lvl w:ilvl="6" w:tplc="B998B03C">
      <w:start w:val="1"/>
      <w:numFmt w:val="bullet"/>
      <w:lvlText w:val=""/>
      <w:lvlJc w:val="left"/>
      <w:pPr>
        <w:ind w:left="5040" w:hanging="360"/>
      </w:pPr>
      <w:rPr>
        <w:rFonts w:hint="default" w:ascii="Symbol" w:hAnsi="Symbol"/>
      </w:rPr>
    </w:lvl>
    <w:lvl w:ilvl="7" w:tplc="96885BE6">
      <w:start w:val="1"/>
      <w:numFmt w:val="bullet"/>
      <w:lvlText w:val="o"/>
      <w:lvlJc w:val="left"/>
      <w:pPr>
        <w:ind w:left="5760" w:hanging="360"/>
      </w:pPr>
      <w:rPr>
        <w:rFonts w:hint="default" w:ascii="Courier New" w:hAnsi="Courier New"/>
      </w:rPr>
    </w:lvl>
    <w:lvl w:ilvl="8" w:tplc="FFC83C02">
      <w:start w:val="1"/>
      <w:numFmt w:val="bullet"/>
      <w:lvlText w:val=""/>
      <w:lvlJc w:val="left"/>
      <w:pPr>
        <w:ind w:left="6480" w:hanging="360"/>
      </w:pPr>
      <w:rPr>
        <w:rFonts w:hint="default" w:ascii="Wingdings" w:hAnsi="Wingdings"/>
      </w:rPr>
    </w:lvl>
  </w:abstractNum>
  <w:abstractNum w:abstractNumId="1" w15:restartNumberingAfterBreak="0">
    <w:nsid w:val="46FC6430"/>
    <w:multiLevelType w:val="hybridMultilevel"/>
    <w:tmpl w:val="889675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2908952">
    <w:abstractNumId w:val="1"/>
  </w:num>
  <w:num w:numId="2" w16cid:durableId="122017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3121B"/>
    <w:rsid w:val="00033F06"/>
    <w:rsid w:val="00056FD8"/>
    <w:rsid w:val="00057B5C"/>
    <w:rsid w:val="000738AE"/>
    <w:rsid w:val="000A0402"/>
    <w:rsid w:val="000B537C"/>
    <w:rsid w:val="000E0AEF"/>
    <w:rsid w:val="00110EA7"/>
    <w:rsid w:val="00137BB6"/>
    <w:rsid w:val="00172B4A"/>
    <w:rsid w:val="00196D96"/>
    <w:rsid w:val="001B078D"/>
    <w:rsid w:val="001B6F61"/>
    <w:rsid w:val="001B7E85"/>
    <w:rsid w:val="001D44CF"/>
    <w:rsid w:val="001D60D3"/>
    <w:rsid w:val="002213F3"/>
    <w:rsid w:val="002449FB"/>
    <w:rsid w:val="00270F44"/>
    <w:rsid w:val="00290E06"/>
    <w:rsid w:val="002942BC"/>
    <w:rsid w:val="002B51BF"/>
    <w:rsid w:val="002D1FC4"/>
    <w:rsid w:val="002F6AD6"/>
    <w:rsid w:val="00354A52"/>
    <w:rsid w:val="00390A84"/>
    <w:rsid w:val="00403E86"/>
    <w:rsid w:val="004439A5"/>
    <w:rsid w:val="00454D7F"/>
    <w:rsid w:val="00475825"/>
    <w:rsid w:val="00495521"/>
    <w:rsid w:val="00521E37"/>
    <w:rsid w:val="00553C34"/>
    <w:rsid w:val="00563A4F"/>
    <w:rsid w:val="005A5CB5"/>
    <w:rsid w:val="005B01AF"/>
    <w:rsid w:val="005B284C"/>
    <w:rsid w:val="006026BF"/>
    <w:rsid w:val="0061050B"/>
    <w:rsid w:val="00611D28"/>
    <w:rsid w:val="006256B7"/>
    <w:rsid w:val="0064378C"/>
    <w:rsid w:val="00646F57"/>
    <w:rsid w:val="006969CC"/>
    <w:rsid w:val="006D58E3"/>
    <w:rsid w:val="00700F17"/>
    <w:rsid w:val="00715E19"/>
    <w:rsid w:val="007213C2"/>
    <w:rsid w:val="00733317"/>
    <w:rsid w:val="0074136E"/>
    <w:rsid w:val="00757E1F"/>
    <w:rsid w:val="007C1281"/>
    <w:rsid w:val="007C24B8"/>
    <w:rsid w:val="007F48C0"/>
    <w:rsid w:val="00862631"/>
    <w:rsid w:val="008722D4"/>
    <w:rsid w:val="00890069"/>
    <w:rsid w:val="008A11C3"/>
    <w:rsid w:val="008A1632"/>
    <w:rsid w:val="008E25F6"/>
    <w:rsid w:val="009065B1"/>
    <w:rsid w:val="00906767"/>
    <w:rsid w:val="00929FE0"/>
    <w:rsid w:val="0093674A"/>
    <w:rsid w:val="0094554A"/>
    <w:rsid w:val="009D1FF2"/>
    <w:rsid w:val="009D3260"/>
    <w:rsid w:val="009E5A38"/>
    <w:rsid w:val="00A07ABD"/>
    <w:rsid w:val="00A142BB"/>
    <w:rsid w:val="00A157DF"/>
    <w:rsid w:val="00A23F2E"/>
    <w:rsid w:val="00A25FF9"/>
    <w:rsid w:val="00A27B44"/>
    <w:rsid w:val="00AA7D5E"/>
    <w:rsid w:val="00AB6412"/>
    <w:rsid w:val="00AC08C1"/>
    <w:rsid w:val="00AD0DC5"/>
    <w:rsid w:val="00B23914"/>
    <w:rsid w:val="00B659E6"/>
    <w:rsid w:val="00B748BE"/>
    <w:rsid w:val="00BB3B08"/>
    <w:rsid w:val="00BF332A"/>
    <w:rsid w:val="00C009FB"/>
    <w:rsid w:val="00C45110"/>
    <w:rsid w:val="00C653D5"/>
    <w:rsid w:val="00CD4495"/>
    <w:rsid w:val="00CE18BC"/>
    <w:rsid w:val="00CE54B2"/>
    <w:rsid w:val="00D426E6"/>
    <w:rsid w:val="00D439C2"/>
    <w:rsid w:val="00D6712C"/>
    <w:rsid w:val="00DE3765"/>
    <w:rsid w:val="00DE59D2"/>
    <w:rsid w:val="00DF43AE"/>
    <w:rsid w:val="00DF59AB"/>
    <w:rsid w:val="00E324CC"/>
    <w:rsid w:val="00E3790D"/>
    <w:rsid w:val="00E42382"/>
    <w:rsid w:val="00E42E47"/>
    <w:rsid w:val="00E46031"/>
    <w:rsid w:val="00E75380"/>
    <w:rsid w:val="00E844A5"/>
    <w:rsid w:val="00EB0A9B"/>
    <w:rsid w:val="00EC554E"/>
    <w:rsid w:val="00EF7EBF"/>
    <w:rsid w:val="00F16D53"/>
    <w:rsid w:val="00F22E0E"/>
    <w:rsid w:val="00F237FE"/>
    <w:rsid w:val="00F32C80"/>
    <w:rsid w:val="00F95454"/>
    <w:rsid w:val="00F97023"/>
    <w:rsid w:val="00FA4F21"/>
    <w:rsid w:val="00FB11A8"/>
    <w:rsid w:val="00FD4EDF"/>
    <w:rsid w:val="02071564"/>
    <w:rsid w:val="0275A766"/>
    <w:rsid w:val="02AA07C1"/>
    <w:rsid w:val="034763CE"/>
    <w:rsid w:val="034D6EC2"/>
    <w:rsid w:val="03A2E5C5"/>
    <w:rsid w:val="04A7C5F3"/>
    <w:rsid w:val="0736B312"/>
    <w:rsid w:val="07431E77"/>
    <w:rsid w:val="082E5571"/>
    <w:rsid w:val="0875D31B"/>
    <w:rsid w:val="094231D7"/>
    <w:rsid w:val="09CA25D2"/>
    <w:rsid w:val="09FA118F"/>
    <w:rsid w:val="0A40BB66"/>
    <w:rsid w:val="0A7655D8"/>
    <w:rsid w:val="0B708102"/>
    <w:rsid w:val="0BD8974C"/>
    <w:rsid w:val="0C03A5C2"/>
    <w:rsid w:val="0C5F0AA0"/>
    <w:rsid w:val="0CD32787"/>
    <w:rsid w:val="0D01C694"/>
    <w:rsid w:val="0D3C238B"/>
    <w:rsid w:val="0ED560C3"/>
    <w:rsid w:val="0F62BADB"/>
    <w:rsid w:val="0FC03302"/>
    <w:rsid w:val="103858B9"/>
    <w:rsid w:val="10476604"/>
    <w:rsid w:val="105FEA78"/>
    <w:rsid w:val="11F38665"/>
    <w:rsid w:val="12417FAF"/>
    <w:rsid w:val="12C863EA"/>
    <w:rsid w:val="135336AD"/>
    <w:rsid w:val="136E0B82"/>
    <w:rsid w:val="14362BFE"/>
    <w:rsid w:val="14419AC5"/>
    <w:rsid w:val="145B163B"/>
    <w:rsid w:val="1493A425"/>
    <w:rsid w:val="16BF929B"/>
    <w:rsid w:val="16C680DC"/>
    <w:rsid w:val="17465869"/>
    <w:rsid w:val="17CA869E"/>
    <w:rsid w:val="1907EFA2"/>
    <w:rsid w:val="1A849147"/>
    <w:rsid w:val="1AEA7379"/>
    <w:rsid w:val="1B37DEFE"/>
    <w:rsid w:val="1BAD305B"/>
    <w:rsid w:val="1BD6F6D1"/>
    <w:rsid w:val="1C19C98C"/>
    <w:rsid w:val="1C9BDAA0"/>
    <w:rsid w:val="1D56A6DA"/>
    <w:rsid w:val="1DFFCF60"/>
    <w:rsid w:val="1E3A866B"/>
    <w:rsid w:val="213EBB98"/>
    <w:rsid w:val="23607A5B"/>
    <w:rsid w:val="2363A5A6"/>
    <w:rsid w:val="2412D4C2"/>
    <w:rsid w:val="2461C678"/>
    <w:rsid w:val="257BFC34"/>
    <w:rsid w:val="273BA45B"/>
    <w:rsid w:val="283716C9"/>
    <w:rsid w:val="286DADA2"/>
    <w:rsid w:val="28CFB0BE"/>
    <w:rsid w:val="292E39F8"/>
    <w:rsid w:val="29436B97"/>
    <w:rsid w:val="2ADF615F"/>
    <w:rsid w:val="2B6EB78B"/>
    <w:rsid w:val="2C13DD10"/>
    <w:rsid w:val="2DC9D39E"/>
    <w:rsid w:val="2E3BD6BC"/>
    <w:rsid w:val="2E5011E4"/>
    <w:rsid w:val="2EA6584D"/>
    <w:rsid w:val="2ED7F0FC"/>
    <w:rsid w:val="2F0503FE"/>
    <w:rsid w:val="2F82EE2A"/>
    <w:rsid w:val="30C7152C"/>
    <w:rsid w:val="314DE379"/>
    <w:rsid w:val="315DE7C3"/>
    <w:rsid w:val="31B5540D"/>
    <w:rsid w:val="31B7935A"/>
    <w:rsid w:val="3262E58D"/>
    <w:rsid w:val="3271FA85"/>
    <w:rsid w:val="3375F151"/>
    <w:rsid w:val="337983A3"/>
    <w:rsid w:val="3397205E"/>
    <w:rsid w:val="33C73166"/>
    <w:rsid w:val="35E70B0D"/>
    <w:rsid w:val="36750780"/>
    <w:rsid w:val="369D0C34"/>
    <w:rsid w:val="36B16A32"/>
    <w:rsid w:val="381842CA"/>
    <w:rsid w:val="38545EC7"/>
    <w:rsid w:val="38725B4B"/>
    <w:rsid w:val="388A259A"/>
    <w:rsid w:val="38D9BDFC"/>
    <w:rsid w:val="3927D529"/>
    <w:rsid w:val="39966444"/>
    <w:rsid w:val="3A25132E"/>
    <w:rsid w:val="3ADCCDE7"/>
    <w:rsid w:val="3B489208"/>
    <w:rsid w:val="3C09C7D3"/>
    <w:rsid w:val="3C86E681"/>
    <w:rsid w:val="3D80EA87"/>
    <w:rsid w:val="3D8E4769"/>
    <w:rsid w:val="3DC68905"/>
    <w:rsid w:val="3E930206"/>
    <w:rsid w:val="3EA16784"/>
    <w:rsid w:val="3EBDB811"/>
    <w:rsid w:val="3F15C545"/>
    <w:rsid w:val="3F3616EF"/>
    <w:rsid w:val="3F8D1E1A"/>
    <w:rsid w:val="401C032B"/>
    <w:rsid w:val="40CBFE1F"/>
    <w:rsid w:val="40D33352"/>
    <w:rsid w:val="421154B9"/>
    <w:rsid w:val="424CF5F0"/>
    <w:rsid w:val="430675A6"/>
    <w:rsid w:val="44166E1D"/>
    <w:rsid w:val="444E3428"/>
    <w:rsid w:val="45EF0C64"/>
    <w:rsid w:val="46DDC77C"/>
    <w:rsid w:val="47EC90CE"/>
    <w:rsid w:val="48EECB6D"/>
    <w:rsid w:val="4917933E"/>
    <w:rsid w:val="4AD9C954"/>
    <w:rsid w:val="4AEB061C"/>
    <w:rsid w:val="4BE5715D"/>
    <w:rsid w:val="4C86D67D"/>
    <w:rsid w:val="4CDF0083"/>
    <w:rsid w:val="4D1D80BB"/>
    <w:rsid w:val="4E3543A5"/>
    <w:rsid w:val="4E420429"/>
    <w:rsid w:val="4E8A9224"/>
    <w:rsid w:val="4F365067"/>
    <w:rsid w:val="508B6DE5"/>
    <w:rsid w:val="50944D55"/>
    <w:rsid w:val="517F8A87"/>
    <w:rsid w:val="546342B1"/>
    <w:rsid w:val="54889920"/>
    <w:rsid w:val="555C39A8"/>
    <w:rsid w:val="5594F5A7"/>
    <w:rsid w:val="56CA8AB9"/>
    <w:rsid w:val="57C039E2"/>
    <w:rsid w:val="57E7AE39"/>
    <w:rsid w:val="57FA2825"/>
    <w:rsid w:val="59837E9A"/>
    <w:rsid w:val="5A938358"/>
    <w:rsid w:val="5AA3F0EA"/>
    <w:rsid w:val="5D189783"/>
    <w:rsid w:val="5E2E77EE"/>
    <w:rsid w:val="5EA87716"/>
    <w:rsid w:val="5FBD442A"/>
    <w:rsid w:val="60030EFB"/>
    <w:rsid w:val="6104892A"/>
    <w:rsid w:val="611E2441"/>
    <w:rsid w:val="6154D0B6"/>
    <w:rsid w:val="61671C28"/>
    <w:rsid w:val="6197B63B"/>
    <w:rsid w:val="619EDF5C"/>
    <w:rsid w:val="61E5E171"/>
    <w:rsid w:val="62331B5E"/>
    <w:rsid w:val="626A634B"/>
    <w:rsid w:val="639B6044"/>
    <w:rsid w:val="63A91C42"/>
    <w:rsid w:val="65887E86"/>
    <w:rsid w:val="65A9E752"/>
    <w:rsid w:val="65C64F69"/>
    <w:rsid w:val="65DBFECA"/>
    <w:rsid w:val="65E5650A"/>
    <w:rsid w:val="662E133E"/>
    <w:rsid w:val="66306FA6"/>
    <w:rsid w:val="669CDBE8"/>
    <w:rsid w:val="680E20E0"/>
    <w:rsid w:val="6819BF6F"/>
    <w:rsid w:val="6820931F"/>
    <w:rsid w:val="6896F743"/>
    <w:rsid w:val="69681068"/>
    <w:rsid w:val="69844690"/>
    <w:rsid w:val="6A7E7B50"/>
    <w:rsid w:val="6BA19C76"/>
    <w:rsid w:val="6C0F82DC"/>
    <w:rsid w:val="6C8E50B0"/>
    <w:rsid w:val="6D2DA831"/>
    <w:rsid w:val="6F03E61E"/>
    <w:rsid w:val="6FEFBB8B"/>
    <w:rsid w:val="709FB67F"/>
    <w:rsid w:val="71E90413"/>
    <w:rsid w:val="72A8C619"/>
    <w:rsid w:val="730897B3"/>
    <w:rsid w:val="733E2240"/>
    <w:rsid w:val="7384D474"/>
    <w:rsid w:val="73D41E0F"/>
    <w:rsid w:val="73DA828C"/>
    <w:rsid w:val="745708B9"/>
    <w:rsid w:val="74C11754"/>
    <w:rsid w:val="74DA466A"/>
    <w:rsid w:val="74DD9420"/>
    <w:rsid w:val="75528C07"/>
    <w:rsid w:val="762DCC2E"/>
    <w:rsid w:val="763627F2"/>
    <w:rsid w:val="77970FCC"/>
    <w:rsid w:val="782C3230"/>
    <w:rsid w:val="786C0698"/>
    <w:rsid w:val="799F9515"/>
    <w:rsid w:val="79A8D3D4"/>
    <w:rsid w:val="7A564D76"/>
    <w:rsid w:val="7BE30348"/>
    <w:rsid w:val="7C6A80EF"/>
    <w:rsid w:val="7D056B7A"/>
    <w:rsid w:val="7E146671"/>
    <w:rsid w:val="7E65CD4C"/>
    <w:rsid w:val="7EF6CF7E"/>
    <w:rsid w:val="7FC338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82CDBEE1-151A-488F-8E25-EA263D6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646F57"/>
    <w:pPr>
      <w:outlineLvl w:val="1"/>
    </w:pPr>
    <w:rPr>
      <w:b/>
      <w:bCs/>
      <w:sz w:val="24"/>
      <w:szCs w:val="24"/>
    </w:rPr>
  </w:style>
  <w:style w:type="paragraph" w:styleId="Heading3">
    <w:name w:val="heading 3"/>
    <w:basedOn w:val="Heading2"/>
    <w:next w:val="Normal"/>
    <w:link w:val="Heading3Char"/>
    <w:uiPriority w:val="9"/>
    <w:unhideWhenUsed/>
    <w:qFormat/>
    <w:rsid w:val="00F22E0E"/>
    <w:pPr>
      <w:outlineLvl w:val="2"/>
    </w:pPr>
    <w:rPr>
      <w:b w:val="0"/>
      <w:bCs w:val="0"/>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F7EBF"/>
    <w:rPr>
      <w:color w:val="0563C1" w:themeColor="hyperlink"/>
      <w:u w:val="single"/>
    </w:rPr>
  </w:style>
  <w:style w:type="character" w:styleId="UnresolvedMention">
    <w:name w:val="Unresolved Mention"/>
    <w:basedOn w:val="DefaultParagraphFont"/>
    <w:uiPriority w:val="99"/>
    <w:semiHidden/>
    <w:unhideWhenUsed/>
    <w:rsid w:val="00EF7EBF"/>
    <w:rPr>
      <w:color w:val="605E5C"/>
      <w:shd w:val="clear" w:color="auto" w:fill="E1DFDD"/>
    </w:rPr>
  </w:style>
  <w:style w:type="paragraph" w:styleId="Title">
    <w:name w:val="Title"/>
    <w:basedOn w:val="Normal"/>
    <w:next w:val="Normal"/>
    <w:link w:val="TitleChar"/>
    <w:uiPriority w:val="10"/>
    <w:qFormat/>
    <w:rsid w:val="002942B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942BC"/>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646F57"/>
    <w:rPr>
      <w:b/>
      <w:bCs/>
      <w:sz w:val="24"/>
      <w:szCs w:val="24"/>
    </w:rPr>
  </w:style>
  <w:style w:type="table" w:styleId="TableGrid">
    <w:name w:val="Table Grid"/>
    <w:basedOn w:val="TableNormal"/>
    <w:uiPriority w:val="39"/>
    <w:rsid w:val="00646F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F22E0E"/>
    <w:rPr>
      <w:i/>
      <w:iCs/>
      <w:sz w:val="24"/>
      <w:szCs w:val="24"/>
    </w:rPr>
  </w:style>
  <w:style w:type="paragraph" w:styleId="ListParagraph">
    <w:name w:val="List Paragraph"/>
    <w:basedOn w:val="Normal"/>
    <w:uiPriority w:val="34"/>
    <w:qFormat/>
    <w:rsid w:val="001B078D"/>
    <w:pPr>
      <w:ind w:left="720"/>
      <w:contextualSpacing/>
    </w:pPr>
  </w:style>
  <w:style w:type="paragraph" w:styleId="Caption">
    <w:name w:val="caption"/>
    <w:basedOn w:val="Normal"/>
    <w:next w:val="Normal"/>
    <w:uiPriority w:val="35"/>
    <w:unhideWhenUsed/>
    <w:qFormat/>
    <w:rsid w:val="000B537C"/>
    <w:pPr>
      <w:spacing w:after="200" w:line="240" w:lineRule="auto"/>
    </w:pPr>
    <w:rPr>
      <w:i/>
      <w:iCs/>
      <w:color w:val="44546A" w:themeColor="text2"/>
      <w:sz w:val="18"/>
      <w:szCs w:val="18"/>
    </w:rPr>
  </w:style>
  <w:style w:type="character" w:styleId="normaltextrun" w:customStyle="1">
    <w:name w:val="normaltextrun"/>
    <w:basedOn w:val="DefaultParagraphFont"/>
    <w:rsid w:val="00172B4A"/>
  </w:style>
  <w:style w:type="character" w:styleId="CommentReference">
    <w:name w:val="annotation reference"/>
    <w:basedOn w:val="DefaultParagraphFont"/>
    <w:uiPriority w:val="99"/>
    <w:semiHidden/>
    <w:unhideWhenUsed/>
    <w:rsid w:val="006969CC"/>
    <w:rPr>
      <w:sz w:val="16"/>
      <w:szCs w:val="16"/>
    </w:rPr>
  </w:style>
  <w:style w:type="paragraph" w:styleId="CommentText">
    <w:name w:val="annotation text"/>
    <w:basedOn w:val="Normal"/>
    <w:link w:val="CommentTextChar"/>
    <w:uiPriority w:val="99"/>
    <w:unhideWhenUsed/>
    <w:rsid w:val="006969CC"/>
    <w:pPr>
      <w:spacing w:line="240" w:lineRule="auto"/>
    </w:pPr>
    <w:rPr>
      <w:sz w:val="20"/>
      <w:szCs w:val="20"/>
    </w:rPr>
  </w:style>
  <w:style w:type="character" w:styleId="CommentTextChar" w:customStyle="1">
    <w:name w:val="Comment Text Char"/>
    <w:basedOn w:val="DefaultParagraphFont"/>
    <w:link w:val="CommentText"/>
    <w:uiPriority w:val="99"/>
    <w:rsid w:val="006969CC"/>
    <w:rPr>
      <w:sz w:val="20"/>
      <w:szCs w:val="20"/>
    </w:rPr>
  </w:style>
  <w:style w:type="paragraph" w:styleId="CommentSubject">
    <w:name w:val="annotation subject"/>
    <w:basedOn w:val="CommentText"/>
    <w:next w:val="CommentText"/>
    <w:link w:val="CommentSubjectChar"/>
    <w:uiPriority w:val="99"/>
    <w:semiHidden/>
    <w:unhideWhenUsed/>
    <w:rsid w:val="006969CC"/>
    <w:rPr>
      <w:b/>
      <w:bCs/>
    </w:rPr>
  </w:style>
  <w:style w:type="character" w:styleId="CommentSubjectChar" w:customStyle="1">
    <w:name w:val="Comment Subject Char"/>
    <w:basedOn w:val="CommentTextChar"/>
    <w:link w:val="CommentSubject"/>
    <w:uiPriority w:val="99"/>
    <w:semiHidden/>
    <w:rsid w:val="006969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www.bing.com/chat" TargetMode="External" Id="Rd119b1ad12634c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B09EE941-E516-4295-BB3B-0CE2D94CE7FE}">
  <ds:schemaRefs>
    <ds:schemaRef ds:uri="http://schemas.microsoft.com/sharepoint/v3/contenttype/forms"/>
  </ds:schemaRefs>
</ds:datastoreItem>
</file>

<file path=customXml/itemProps3.xml><?xml version="1.0" encoding="utf-8"?>
<ds:datastoreItem xmlns:ds="http://schemas.openxmlformats.org/officeDocument/2006/customXml" ds:itemID="{7A2365E8-66E6-4E7C-88D1-ABAFADEFA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Kennedy, Fran K</cp:lastModifiedBy>
  <cp:revision>111</cp:revision>
  <dcterms:created xsi:type="dcterms:W3CDTF">2022-07-07T19:06:00Z</dcterms:created>
  <dcterms:modified xsi:type="dcterms:W3CDTF">2024-05-03T16:49:51Z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